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9F8DE" w14:textId="77777777" w:rsidR="006C26E0" w:rsidRPr="0066519F" w:rsidRDefault="006C26E0" w:rsidP="006C26E0">
      <w:pPr>
        <w:spacing w:line="256" w:lineRule="auto"/>
        <w:jc w:val="center"/>
        <w:rPr>
          <w:rFonts w:ascii="Calibri" w:eastAsia="Calibri" w:hAnsi="Calibri" w:cs="Times New Roman"/>
          <w:b/>
          <w:bCs/>
        </w:rPr>
      </w:pPr>
      <w:r w:rsidRPr="0066519F">
        <w:rPr>
          <w:rFonts w:ascii="Calibri" w:eastAsia="Calibri" w:hAnsi="Calibri" w:cs="Times New Roman"/>
          <w:b/>
          <w:bCs/>
        </w:rPr>
        <w:t>Policies &amp; Procedures</w:t>
      </w:r>
    </w:p>
    <w:p w14:paraId="75ED471E" w14:textId="77777777" w:rsidR="006C26E0" w:rsidRPr="0066519F" w:rsidRDefault="006C26E0" w:rsidP="006C26E0">
      <w:pPr>
        <w:spacing w:line="256" w:lineRule="auto"/>
        <w:jc w:val="center"/>
        <w:rPr>
          <w:rFonts w:ascii="Calibri" w:eastAsia="Calibri" w:hAnsi="Calibri" w:cs="Times New Roman"/>
          <w:b/>
          <w:bCs/>
        </w:rPr>
      </w:pPr>
      <w:r w:rsidRPr="0066519F">
        <w:rPr>
          <w:rFonts w:ascii="Calibri" w:eastAsia="Calibri" w:hAnsi="Calibri" w:cs="Times New Roman"/>
          <w:b/>
          <w:bCs/>
        </w:rPr>
        <w:t>Annual Studentships Competition</w:t>
      </w:r>
    </w:p>
    <w:p w14:paraId="47A171B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w:t>
      </w:r>
      <w:proofErr w:type="spellStart"/>
      <w:r w:rsidRPr="0066519F">
        <w:rPr>
          <w:rFonts w:ascii="Calibri" w:eastAsia="Calibri" w:hAnsi="Calibri" w:cs="Times New Roman"/>
          <w:b/>
          <w:bCs/>
        </w:rPr>
        <w:t>Bioconvergence</w:t>
      </w:r>
      <w:proofErr w:type="spellEnd"/>
      <w:r w:rsidRPr="0066519F">
        <w:rPr>
          <w:rFonts w:ascii="Calibri" w:eastAsia="Calibri" w:hAnsi="Calibri" w:cs="Times New Roman"/>
          <w:b/>
        </w:rPr>
        <w:t xml:space="preserve"> for Sustainable Consumer </w:t>
      </w:r>
      <w:r w:rsidRPr="0066519F">
        <w:rPr>
          <w:rFonts w:ascii="Calibri" w:eastAsia="Calibri" w:hAnsi="Calibri" w:cs="Times New Roman"/>
          <w:b/>
          <w:bCs/>
        </w:rPr>
        <w:t>Innovations</w:t>
      </w:r>
      <w:r w:rsidRPr="0066519F">
        <w:rPr>
          <w:rFonts w:ascii="Calibri" w:eastAsia="Calibri" w:hAnsi="Calibri" w:cs="Times New Roman"/>
        </w:rPr>
        <w:t xml:space="preserve"> </w:t>
      </w:r>
      <w:r w:rsidRPr="0066519F">
        <w:rPr>
          <w:rFonts w:ascii="Calibri" w:eastAsia="Calibri" w:hAnsi="Calibri" w:cs="Times New Roman"/>
          <w:b/>
          <w:bCs/>
        </w:rPr>
        <w:t>IDLA</w:t>
      </w:r>
      <w:r w:rsidRPr="0066519F">
        <w:rPr>
          <w:rFonts w:ascii="Calibri" w:eastAsia="Calibri" w:hAnsi="Calibri" w:cs="Times New Roman"/>
        </w:rPr>
        <w:t xml:space="preserve"> is led by Procter &amp; Gamble on the industrial side and Durham University on the academic side.</w:t>
      </w:r>
    </w:p>
    <w:p w14:paraId="1795810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The partnership includes Durham University, Newcastle University, Northumbria University and Imperial College London.</w:t>
      </w:r>
    </w:p>
    <w:p w14:paraId="5D84D9A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It will train 24 doctoral researchers embedded within P&amp;G and partner SMEs to accelerate sustainable, high-performance innovation through cutting-edge research in biomolecules, </w:t>
      </w:r>
      <w:proofErr w:type="spellStart"/>
      <w:r w:rsidRPr="0066519F">
        <w:rPr>
          <w:rFonts w:ascii="Calibri" w:eastAsia="Calibri" w:hAnsi="Calibri" w:cs="Times New Roman"/>
        </w:rPr>
        <w:t>biomethods</w:t>
      </w:r>
      <w:proofErr w:type="spellEnd"/>
      <w:r w:rsidRPr="0066519F">
        <w:rPr>
          <w:rFonts w:ascii="Calibri" w:eastAsia="Calibri" w:hAnsi="Calibri" w:cs="Times New Roman"/>
        </w:rPr>
        <w:t>, biomanufacturing and biosystems.</w:t>
      </w:r>
    </w:p>
    <w:p w14:paraId="4C9F37F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Part 1 - Policy </w:t>
      </w:r>
    </w:p>
    <w:p w14:paraId="13328CB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ALLOCATION PRINCIPLES </w:t>
      </w:r>
    </w:p>
    <w:p w14:paraId="154E2D9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 The BISCI IDLA runs a single, combined annual studentship competition to recruit and select postgraduate students of the very highest calibre to study at Durham, Imperial, Newcastle, Northumbria or (as needed) other UK Universities. </w:t>
      </w:r>
    </w:p>
    <w:p w14:paraId="7337C82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BISCI IDLA operates an open competition for the awarding of studentships, which is centred on the quality of candidates and their proposed research. </w:t>
      </w:r>
    </w:p>
    <w:p w14:paraId="3E06794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 BISCI IDLA’s studentship competition has been designed to be open and transparent. We welcome and encourage applicants </w:t>
      </w:r>
      <w:r w:rsidRPr="0066519F">
        <w:rPr>
          <w:rFonts w:ascii="Calibri" w:eastAsia="Calibri" w:hAnsi="Calibri" w:cs="Arial"/>
        </w:rPr>
        <w:t xml:space="preserve">from diverse backgrounds and are committed to providing equal opportunities in employment and supporting career progression. Our Equality, Diversity and Inclusion (EDI) board are accountable to embed positive EDI practises in all aspects of the studentship programme and share best practises throughout all partner institutions and the broader community.  </w:t>
      </w:r>
    </w:p>
    <w:p w14:paraId="19667A79"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In support of BISCI IDLA’s emphasis on quality and transparency, all decisions around which projects are funded are based on clear and agreed assessment criteria.</w:t>
      </w:r>
    </w:p>
    <w:p w14:paraId="0B752EDB"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AVAILABLE AWARDS </w:t>
      </w:r>
    </w:p>
    <w:p w14:paraId="29933232"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 BISCI IDLA has 24 fully funded postgraduate (PhD) studentships to award to students commencing their postgraduate studies from October 2025 split across 3 cohorts. 15 of these studentships are funded by the BBSRC.</w:t>
      </w:r>
    </w:p>
    <w:p w14:paraId="0EF9693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studentships that can be applied for (in line with the host institution regulations) are 4-year PhD studentships.  Part-time equivalents to the above studentships are available. Should a part-time candidate be successful the BISCI IDLA will consult with the successful candidate and their host institution to ensure the appropriate arrangements are in place to support their studies and that they comply with the UKRI’s employment requirements affecting part-time award-holders. </w:t>
      </w:r>
    </w:p>
    <w:p w14:paraId="1145BCD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COLLABORATIVE AGREEMENT</w:t>
      </w:r>
    </w:p>
    <w:p w14:paraId="3B6A72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4. The associate partners and the lead partner have one common legal agreement that underpins access, intellectual property and any financial contributions. Any other collaborating parties that can benefit the IDLA will be asked to sign the same agreement. Collaborating partners can be national, regional, or local organisations and based in any geographic location but only UK-based Universities may be the lead institution where a PhD student is based.</w:t>
      </w:r>
    </w:p>
    <w:p w14:paraId="7DC4DA80" w14:textId="77777777" w:rsidR="006C26E0" w:rsidRPr="0066519F" w:rsidRDefault="006C26E0" w:rsidP="006C26E0">
      <w:pPr>
        <w:spacing w:line="256" w:lineRule="auto"/>
        <w:jc w:val="both"/>
        <w:rPr>
          <w:rFonts w:ascii="Calibri" w:eastAsia="Calibri" w:hAnsi="Calibri" w:cs="Times New Roman"/>
        </w:rPr>
      </w:pPr>
    </w:p>
    <w:p w14:paraId="03FF616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lastRenderedPageBreak/>
        <w:t xml:space="preserve">POSITIVE ACTION IN RELATION TO UNDER-REPRESENTED GROUPS </w:t>
      </w:r>
    </w:p>
    <w:p w14:paraId="774789E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 5.  BISCI IDLA has a clear strategy outlining EDI considerations when recruiting staff and supervisors, doctoral candidates, advisors, and other community partners. “Representation” forms one pillar of this overall strategy, and measures include ensuring diverse representation in selection and onboarding teams, unconscious bias training and ensuring accommodations at each stage of the studentship journey.</w:t>
      </w:r>
    </w:p>
    <w:p w14:paraId="0E821739" w14:textId="77777777" w:rsidR="006C26E0" w:rsidRPr="0066519F" w:rsidRDefault="006C26E0" w:rsidP="006C26E0">
      <w:pPr>
        <w:spacing w:line="256" w:lineRule="auto"/>
        <w:jc w:val="both"/>
        <w:rPr>
          <w:rFonts w:ascii="Calibri" w:eastAsia="Calibri" w:hAnsi="Calibri" w:cs="Times New Roman"/>
        </w:rPr>
      </w:pPr>
    </w:p>
    <w:p w14:paraId="2FC1911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FINANCIAL SUPPORT </w:t>
      </w:r>
    </w:p>
    <w:p w14:paraId="2FE7FFB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6. BISCI IDLA’s studentships provide successful applicants with the following financial support: </w:t>
      </w:r>
    </w:p>
    <w:p w14:paraId="7249D995"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 Payment of tuition fees for home candidates, and a contribution of the UKRI tuition fee rate to all international students (see BBSRC website for 26/27 figures); please see the section on Eligibility below (points 11 - 16 specifically) for more information; </w:t>
      </w:r>
    </w:p>
    <w:p w14:paraId="162D1B9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b) A tax-free maintenance grant set at the UKRI’s national rate.</w:t>
      </w:r>
    </w:p>
    <w:p w14:paraId="5B896B3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Students will additionally receive financial support for their industrial placements.</w:t>
      </w:r>
    </w:p>
    <w:p w14:paraId="41E30F9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7. Additionally, applicants may apply for contributions towards funding for </w:t>
      </w:r>
      <w:r w:rsidRPr="0066519F">
        <w:rPr>
          <w:rFonts w:ascii="Calibri" w:eastAsia="Calibri" w:hAnsi="Calibri" w:cs="Arial"/>
        </w:rPr>
        <w:t xml:space="preserve">travel, accommodation, childcare and catering for conferences and events above and beyond what is supported by the BBSRC studentship grant </w:t>
      </w:r>
      <w:r w:rsidRPr="0066519F">
        <w:rPr>
          <w:rFonts w:ascii="Calibri" w:eastAsia="Calibri" w:hAnsi="Calibri" w:cs="Times New Roman"/>
        </w:rPr>
        <w:t xml:space="preserve">as well as other incidentals (incidentals capped at £250)), which must be applied for by award-holders following the commencement of their studies. Please note that funds are limited. We therefore encourage supervisors and candidates to work to ensure any projected needs are economically feasible. </w:t>
      </w:r>
    </w:p>
    <w:p w14:paraId="3EDB1D28"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8. All maintenance grants are paid to award-holders by their host institution’s relevant Finance Office. </w:t>
      </w:r>
    </w:p>
    <w:p w14:paraId="76FA4B9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COMMENCEMENT OF AWARDS </w:t>
      </w:r>
    </w:p>
    <w:p w14:paraId="7B31D0D0" w14:textId="01D97F52"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9. All awards made by BISCI IDLA during this studentship competition will commence at the start of the 2026-27 academic year (October 202</w:t>
      </w:r>
      <w:r w:rsidR="0033677A" w:rsidRPr="0066519F">
        <w:rPr>
          <w:rFonts w:ascii="Calibri" w:eastAsia="Calibri" w:hAnsi="Calibri" w:cs="Times New Roman"/>
        </w:rPr>
        <w:t>7</w:t>
      </w:r>
      <w:r w:rsidRPr="0066519F">
        <w:rPr>
          <w:rFonts w:ascii="Calibri" w:eastAsia="Calibri" w:hAnsi="Calibri" w:cs="Times New Roman"/>
        </w:rPr>
        <w:t xml:space="preserve">), unless there are exceptional circumstances affecting a successful candidate, which should be raised with BISCI IDLA following the issuing of the candidate’s official award notification. </w:t>
      </w:r>
    </w:p>
    <w:p w14:paraId="4124C55B"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10. Studentships cannot normally be deferred or started before 01 October 2026. </w:t>
      </w:r>
    </w:p>
    <w:p w14:paraId="3AB40F6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ELIGIBILITY FOR FUNDING </w:t>
      </w:r>
    </w:p>
    <w:p w14:paraId="28BF7FA4"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11. BISCI IDLA’s studentships are available to both Home and International students. This is in line with the UKRI student eligibility criteria, as detailed in the UKRI Postgraduate Funding Guide: </w:t>
      </w:r>
    </w:p>
    <w:p w14:paraId="55908A46" w14:textId="77777777" w:rsidR="006C26E0" w:rsidRPr="0066519F" w:rsidRDefault="006C26E0" w:rsidP="006C26E0">
      <w:pPr>
        <w:spacing w:line="256" w:lineRule="auto"/>
        <w:jc w:val="both"/>
        <w:rPr>
          <w:rFonts w:ascii="Calibri" w:eastAsia="Calibri" w:hAnsi="Calibri" w:cs="Times New Roman"/>
        </w:rPr>
      </w:pPr>
      <w:hyperlink r:id="rId10" w:history="1">
        <w:r w:rsidRPr="0066519F">
          <w:rPr>
            <w:rFonts w:ascii="Calibri" w:eastAsia="Calibri" w:hAnsi="Calibri" w:cs="Times New Roman"/>
            <w:color w:val="0563C1" w:themeColor="hyperlink"/>
            <w:u w:val="single"/>
          </w:rPr>
          <w:t>https://www.ukri.org/wp-content/uploads/2021/02/UKRI-030221-Guidance-International-Eligibility-Implementation-training-grant-holders-V2.pdf</w:t>
        </w:r>
      </w:hyperlink>
    </w:p>
    <w:p w14:paraId="2515752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12. Eligibility rules for defining eligibility for Home or International studentships are defined in the link shown. Research Organisations bear full responsible for appropriately identifying the correct fee and eligibility status for their candidates. </w:t>
      </w:r>
    </w:p>
    <w:p w14:paraId="433C04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13. All BISCI IDLA studentships will be awarded at the full UKRI studentship rate, comprising tuition fee, stipend and additional research funding at the established UKRI studentship rate. For candidates who qualify as </w:t>
      </w:r>
      <w:proofErr w:type="gramStart"/>
      <w:r w:rsidRPr="0066519F">
        <w:rPr>
          <w:rFonts w:ascii="Calibri" w:eastAsia="Calibri" w:hAnsi="Calibri" w:cs="Times New Roman"/>
        </w:rPr>
        <w:t>Home</w:t>
      </w:r>
      <w:proofErr w:type="gramEnd"/>
      <w:r w:rsidRPr="0066519F">
        <w:rPr>
          <w:rFonts w:ascii="Calibri" w:eastAsia="Calibri" w:hAnsi="Calibri" w:cs="Times New Roman"/>
        </w:rPr>
        <w:t xml:space="preserve"> students, the award will cover all tuition fee costs; for </w:t>
      </w:r>
      <w:proofErr w:type="gramStart"/>
      <w:r w:rsidRPr="0066519F">
        <w:rPr>
          <w:rFonts w:ascii="Calibri" w:eastAsia="Calibri" w:hAnsi="Calibri" w:cs="Times New Roman"/>
        </w:rPr>
        <w:t>International</w:t>
      </w:r>
      <w:proofErr w:type="gramEnd"/>
      <w:r w:rsidRPr="0066519F">
        <w:rPr>
          <w:rFonts w:ascii="Calibri" w:eastAsia="Calibri" w:hAnsi="Calibri" w:cs="Times New Roman"/>
        </w:rPr>
        <w:t xml:space="preserve"> students, only the home fee level can be claimed from the training grant or other UKRI funding. UKRI funding </w:t>
      </w:r>
      <w:r w:rsidRPr="0066519F">
        <w:rPr>
          <w:rFonts w:ascii="Calibri" w:eastAsia="Calibri" w:hAnsi="Calibri" w:cs="Times New Roman"/>
        </w:rPr>
        <w:lastRenderedPageBreak/>
        <w:t>may not be used to cover the difference between the home and international fee rate. Alternate funds will need to be sourced to cover the difference between the home and international fee rates. The difference may be met with contributions from the institution, co-</w:t>
      </w:r>
      <w:proofErr w:type="spellStart"/>
      <w:r w:rsidRPr="0066519F">
        <w:rPr>
          <w:rFonts w:ascii="Calibri" w:eastAsia="Calibri" w:hAnsi="Calibri" w:cs="Times New Roman"/>
        </w:rPr>
        <w:t>funding</w:t>
      </w:r>
      <w:proofErr w:type="spellEnd"/>
      <w:r w:rsidRPr="0066519F">
        <w:rPr>
          <w:rFonts w:ascii="Calibri" w:eastAsia="Calibri" w:hAnsi="Calibri" w:cs="Times New Roman"/>
        </w:rPr>
        <w:t xml:space="preserve"> partners on collaborative awards, or from the candidates directly. </w:t>
      </w:r>
    </w:p>
    <w:p w14:paraId="7092F50F" w14:textId="23725BCF"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14. In keeping with UKRI rules, a maximum of 30% of all studentships awarded can be awarded to International Students. This cap applies to each cohort, (not including associated or integrated studentships). </w:t>
      </w:r>
    </w:p>
    <w:p w14:paraId="50D046CC"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15. Candidates awarded part-time studentships are required to commit at least 50% of their standard working week to their postgraduate studies and are not permitted to hold employment for more than 50% of the time whilst studying. As noted in Paragraph 3, BISCI IDLA will liaise closely with all part-time award-holders to ensure their package of support is most appropriate to their needs and individual circumstances. </w:t>
      </w:r>
    </w:p>
    <w:p w14:paraId="6138CDC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16. University departments must ensure they are aware of these eligibility rules and ensure they have reviewed their nominees against the requirements. The BISCI IDLA will perform light-touch checks on eligibility </w:t>
      </w:r>
      <w:proofErr w:type="gramStart"/>
      <w:r w:rsidRPr="0066519F">
        <w:rPr>
          <w:rFonts w:ascii="Calibri" w:eastAsia="Calibri" w:hAnsi="Calibri" w:cs="Times New Roman"/>
        </w:rPr>
        <w:t>decisions, and</w:t>
      </w:r>
      <w:proofErr w:type="gramEnd"/>
      <w:r w:rsidRPr="0066519F">
        <w:rPr>
          <w:rFonts w:ascii="Calibri" w:eastAsia="Calibri" w:hAnsi="Calibri" w:cs="Times New Roman"/>
        </w:rPr>
        <w:t xml:space="preserve"> may approach departments for further information if necessary; however, it should be noted that the Research Organisation bears sole responsibility for conducting all eligibility checks.</w:t>
      </w:r>
    </w:p>
    <w:p w14:paraId="5B3C65E6" w14:textId="77777777" w:rsidR="006C26E0" w:rsidRPr="0066519F" w:rsidRDefault="006C26E0" w:rsidP="006C26E0">
      <w:pPr>
        <w:spacing w:line="256" w:lineRule="auto"/>
        <w:jc w:val="both"/>
        <w:rPr>
          <w:rFonts w:ascii="Calibri" w:eastAsia="Calibri" w:hAnsi="Calibri" w:cs="Times New Roman"/>
        </w:rPr>
      </w:pPr>
    </w:p>
    <w:p w14:paraId="371E116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SUPERVISION </w:t>
      </w:r>
    </w:p>
    <w:p w14:paraId="178D948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17. The BISCI IDLA is committed to supporting students and to encourage collaboration across the cohort and institutions and to allow students to experience a diversity of advisors, each student will be assigned two academic (one lead and one supporting) and at least one industrial supervisor. </w:t>
      </w:r>
    </w:p>
    <w:p w14:paraId="2D86B94F"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The candidate will be registered at the host partner institution of the leading academic </w:t>
      </w:r>
      <w:proofErr w:type="gramStart"/>
      <w:r w:rsidRPr="0066519F">
        <w:rPr>
          <w:rFonts w:ascii="Calibri" w:eastAsia="Calibri" w:hAnsi="Calibri" w:cs="Times New Roman"/>
        </w:rPr>
        <w:t>supervisor</w:t>
      </w:r>
      <w:proofErr w:type="gramEnd"/>
      <w:r w:rsidRPr="0066519F">
        <w:rPr>
          <w:rFonts w:ascii="Calibri" w:eastAsia="Calibri" w:hAnsi="Calibri" w:cs="Times New Roman"/>
        </w:rPr>
        <w:t xml:space="preserve"> and their tuition fees will be charged at that institution. </w:t>
      </w:r>
    </w:p>
    <w:p w14:paraId="247FD82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While BISCI IDLA does not require the second academic supervisor to be cross-department or cross-institutional (i.e. second academic supervisor coming from a different department or University), we do seek to encourage it to: i) pool expertise and ensure our award-holders are supervised by the most qualified team; ii) build capacity and spread good practice; iii) build collaboration within the partnership; iv) build research networks that might also be generative of other research collaborations. In addition, applications to the BISCI IDLA Studentship Competition can be strengthened, and thus score more highly, where supervisors have sought to fill possible gaps in supervisory expertise by engaging with colleagues in another institution.</w:t>
      </w:r>
    </w:p>
    <w:p w14:paraId="43709DCC" w14:textId="117A88E6" w:rsidR="006C26E0" w:rsidRPr="0066519F" w:rsidRDefault="006C26E0" w:rsidP="006C26E0">
      <w:pPr>
        <w:spacing w:line="256" w:lineRule="auto"/>
        <w:jc w:val="both"/>
        <w:rPr>
          <w:rFonts w:ascii="Calibri" w:eastAsia="Calibri" w:hAnsi="Calibri" w:cs="Times New Roman"/>
        </w:rPr>
      </w:pPr>
      <w:r w:rsidRPr="0066519F">
        <w:rPr>
          <w:rFonts w:ascii="Times New Roman" w:eastAsia="Calibri" w:hAnsi="Times New Roman" w:cs="Times New Roman"/>
          <w:sz w:val="24"/>
          <w:szCs w:val="24"/>
          <w:lang w:eastAsia="en-GB"/>
        </w:rPr>
        <w:br w:type="page"/>
      </w:r>
      <w:r w:rsidRPr="0066519F">
        <w:rPr>
          <w:rFonts w:ascii="Calibri" w:eastAsia="Calibri" w:hAnsi="Calibri" w:cs="Times New Roman"/>
        </w:rPr>
        <w:lastRenderedPageBreak/>
        <w:t xml:space="preserve">Part </w:t>
      </w:r>
      <w:proofErr w:type="gramStart"/>
      <w:r w:rsidRPr="0066519F">
        <w:rPr>
          <w:rFonts w:ascii="Calibri" w:eastAsia="Calibri" w:hAnsi="Calibri" w:cs="Times New Roman"/>
        </w:rPr>
        <w:t>2  -</w:t>
      </w:r>
      <w:proofErr w:type="gramEnd"/>
      <w:r w:rsidRPr="0066519F">
        <w:rPr>
          <w:rFonts w:ascii="Calibri" w:eastAsia="Calibri" w:hAnsi="Calibri" w:cs="Times New Roman"/>
        </w:rPr>
        <w:t xml:space="preserve"> Process </w:t>
      </w:r>
    </w:p>
    <w:p w14:paraId="5262730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SUBMITTING APPLICATIONS </w:t>
      </w:r>
    </w:p>
    <w:p w14:paraId="25E2A350" w14:textId="77777777" w:rsidR="006C26E0" w:rsidRPr="0066519F" w:rsidRDefault="006C26E0" w:rsidP="006C26E0">
      <w:pPr>
        <w:spacing w:line="256" w:lineRule="auto"/>
        <w:jc w:val="both"/>
        <w:rPr>
          <w:rFonts w:ascii="Calibri" w:eastAsia="Calibri" w:hAnsi="Calibri" w:cs="Times New Roman"/>
          <w:b/>
          <w:bCs/>
          <w:lang w:val="en-US"/>
        </w:rPr>
      </w:pPr>
      <w:r w:rsidRPr="0066519F">
        <w:rPr>
          <w:rFonts w:ascii="Calibri" w:eastAsia="Calibri" w:hAnsi="Calibri" w:cs="Times New Roman"/>
        </w:rPr>
        <w:t>18. The research proposal will be submitted by the prospective industrial and academic supervisors to our Science Advisory Board. The proposals will be judged versus the below criteria (the EDI and the Wellbeing boards will assess the Supervision scores and the Science Advisory board the other four criteria).</w:t>
      </w:r>
      <w:r w:rsidRPr="0066519F">
        <w:rPr>
          <w:rFonts w:ascii="Calibri" w:eastAsia="Calibri" w:hAnsi="Calibri" w:cs="Times New Roman"/>
          <w:b/>
          <w:bCs/>
          <w:lang w:val="en-US"/>
        </w:rPr>
        <w:t xml:space="preserve"> </w:t>
      </w:r>
    </w:p>
    <w:p w14:paraId="02A00583"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(a) BBSRC and CTP Remit.</w:t>
      </w:r>
      <w:r w:rsidRPr="0066519F">
        <w:rPr>
          <w:rFonts w:ascii="Calibri" w:eastAsia="Calibri" w:hAnsi="Calibri" w:cs="Times New Roman"/>
          <w:lang w:val="en-US"/>
        </w:rPr>
        <w:t xml:space="preserve"> </w:t>
      </w:r>
      <w:r w:rsidRPr="0066519F">
        <w:rPr>
          <w:rFonts w:ascii="Calibri" w:eastAsia="Calibri" w:hAnsi="Calibri" w:cs="Times New Roman"/>
          <w:i/>
          <w:iCs/>
          <w:lang w:val="en-US"/>
        </w:rPr>
        <w:t>Pass/Fail.</w:t>
      </w:r>
      <w:r w:rsidRPr="0066519F">
        <w:rPr>
          <w:rFonts w:ascii="Calibri" w:eastAsia="Calibri" w:hAnsi="Calibri" w:cs="Times New Roman"/>
          <w:lang w:val="en-US"/>
        </w:rPr>
        <w:t xml:space="preserve"> Only those projects that fall within the agreed topic areas of </w:t>
      </w:r>
      <w:proofErr w:type="gramStart"/>
      <w:r w:rsidRPr="0066519F">
        <w:rPr>
          <w:rFonts w:ascii="Calibri" w:eastAsia="Calibri" w:hAnsi="Calibri" w:cs="Times New Roman"/>
          <w:lang w:val="en-US"/>
        </w:rPr>
        <w:t>the CTP</w:t>
      </w:r>
      <w:proofErr w:type="gramEnd"/>
      <w:r w:rsidRPr="0066519F">
        <w:rPr>
          <w:rFonts w:ascii="Calibri" w:eastAsia="Calibri" w:hAnsi="Calibri" w:cs="Times New Roman"/>
          <w:lang w:val="en-US"/>
        </w:rPr>
        <w:t xml:space="preserve"> will be considered.</w:t>
      </w:r>
    </w:p>
    <w:p w14:paraId="50003713"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(b) Feasibility</w:t>
      </w:r>
      <w:r w:rsidRPr="0066519F">
        <w:rPr>
          <w:rFonts w:ascii="Calibri" w:eastAsia="Calibri" w:hAnsi="Calibri" w:cs="Times New Roman"/>
          <w:lang w:val="en-US"/>
        </w:rPr>
        <w:t xml:space="preserve"> </w:t>
      </w:r>
      <w:r w:rsidRPr="0066519F">
        <w:rPr>
          <w:rFonts w:ascii="Calibri" w:eastAsia="Calibri" w:hAnsi="Calibri" w:cs="Times New Roman"/>
          <w:i/>
          <w:iCs/>
          <w:lang w:val="en-US"/>
        </w:rPr>
        <w:t>(30% weighting).</w:t>
      </w:r>
      <w:r w:rsidRPr="0066519F">
        <w:rPr>
          <w:rFonts w:ascii="Calibri" w:eastAsia="Calibri" w:hAnsi="Calibri" w:cs="Times New Roman"/>
          <w:lang w:val="en-US"/>
        </w:rPr>
        <w:t xml:space="preserve"> Is the project technically feasible with a high likelihood of yielding results worthy of a PhD? </w:t>
      </w:r>
    </w:p>
    <w:p w14:paraId="334DAE7E"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(c) Supervision</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(15% </w:t>
      </w:r>
      <w:proofErr w:type="gramStart"/>
      <w:r w:rsidRPr="0066519F">
        <w:rPr>
          <w:rFonts w:ascii="Calibri" w:eastAsia="Calibri" w:hAnsi="Calibri" w:cs="Times New Roman"/>
          <w:i/>
          <w:iCs/>
          <w:lang w:val="en-US"/>
        </w:rPr>
        <w:t>weighting</w:t>
      </w:r>
      <w:proofErr w:type="gramEnd"/>
      <w:r w:rsidRPr="0066519F">
        <w:rPr>
          <w:rFonts w:ascii="Calibri" w:eastAsia="Calibri" w:hAnsi="Calibri" w:cs="Times New Roman"/>
          <w:i/>
          <w:iCs/>
          <w:lang w:val="en-US"/>
        </w:rPr>
        <w:t>).</w:t>
      </w:r>
      <w:r w:rsidRPr="0066519F">
        <w:rPr>
          <w:rFonts w:ascii="Calibri" w:eastAsia="Calibri" w:hAnsi="Calibri" w:cs="Times New Roman"/>
          <w:lang w:val="en-US"/>
        </w:rPr>
        <w:t xml:space="preserve"> Does the joint supervisory team have the skills and capacity to provide the required level of support and training? Does the supervisory team demonstrate best practice for student health and wellbeing, and equality diversity and inclusion (EDI)?</w:t>
      </w:r>
    </w:p>
    <w:p w14:paraId="462BF968"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(d) Novelty</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(30% weighting). </w:t>
      </w:r>
      <w:r w:rsidRPr="0066519F">
        <w:rPr>
          <w:rFonts w:ascii="Calibri" w:eastAsia="Calibri" w:hAnsi="Calibri" w:cs="Times New Roman"/>
          <w:lang w:val="en-US"/>
        </w:rPr>
        <w:t>Does the project involve exciting science that is likely to be publishable in a quality journal? Will there be significant opportunity for the associate to demonstrate creativity and inventiveness?</w:t>
      </w:r>
    </w:p>
    <w:p w14:paraId="200BD842" w14:textId="77777777" w:rsidR="006C26E0" w:rsidRPr="0066519F" w:rsidRDefault="006C26E0" w:rsidP="006C26E0">
      <w:pPr>
        <w:spacing w:line="256" w:lineRule="auto"/>
        <w:jc w:val="both"/>
        <w:rPr>
          <w:rFonts w:ascii="Calibri" w:eastAsia="Calibri" w:hAnsi="Calibri" w:cs="Times New Roman"/>
          <w:lang w:val="en-US"/>
        </w:rPr>
      </w:pPr>
      <w:r w:rsidRPr="0066519F">
        <w:rPr>
          <w:rFonts w:ascii="Calibri" w:eastAsia="Calibri" w:hAnsi="Calibri" w:cs="Times New Roman"/>
          <w:b/>
          <w:bCs/>
          <w:lang w:val="en-US"/>
        </w:rPr>
        <w:t>(e) Potential impact</w:t>
      </w:r>
      <w:r w:rsidRPr="0066519F">
        <w:rPr>
          <w:rFonts w:ascii="Calibri" w:eastAsia="Calibri" w:hAnsi="Calibri" w:cs="Times New Roman"/>
          <w:lang w:val="en-US"/>
        </w:rPr>
        <w:t xml:space="preserve"> </w:t>
      </w:r>
      <w:r w:rsidRPr="0066519F">
        <w:rPr>
          <w:rFonts w:ascii="Calibri" w:eastAsia="Calibri" w:hAnsi="Calibri" w:cs="Times New Roman"/>
          <w:i/>
          <w:iCs/>
          <w:lang w:val="en-US"/>
        </w:rPr>
        <w:t xml:space="preserve">(25% weighting). </w:t>
      </w:r>
      <w:r w:rsidRPr="0066519F">
        <w:rPr>
          <w:rFonts w:ascii="Calibri" w:eastAsia="Calibri" w:hAnsi="Calibri" w:cs="Times New Roman"/>
          <w:lang w:val="en-US"/>
        </w:rPr>
        <w:t>Is the project likely to deliver tangible and significant results that will support the bioscience industry and the environment?</w:t>
      </w:r>
    </w:p>
    <w:p w14:paraId="01742EC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Based on this assessment the Science Advisory Board will recommend which projects to put out to advertisement. The management board will make the final project selection based on this recommendation while ensuring a diverse set of supervisors and projects with a reasonable split between institutions and across the research topics of biomolecules, </w:t>
      </w:r>
      <w:proofErr w:type="spellStart"/>
      <w:r w:rsidRPr="0066519F">
        <w:rPr>
          <w:rFonts w:ascii="Calibri" w:eastAsia="Calibri" w:hAnsi="Calibri" w:cs="Times New Roman"/>
        </w:rPr>
        <w:t>biomethods</w:t>
      </w:r>
      <w:proofErr w:type="spellEnd"/>
      <w:r w:rsidRPr="0066519F">
        <w:rPr>
          <w:rFonts w:ascii="Calibri" w:eastAsia="Calibri" w:hAnsi="Calibri" w:cs="Times New Roman"/>
        </w:rPr>
        <w:t>, biomanufacturing and biosystems.</w:t>
      </w:r>
    </w:p>
    <w:p w14:paraId="613330C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u w:val="single"/>
        </w:rPr>
        <w:t>Only projects that have passed this suitability assessment will be advertised to students</w:t>
      </w:r>
      <w:r w:rsidRPr="0066519F">
        <w:rPr>
          <w:rFonts w:ascii="Calibri" w:eastAsia="Calibri" w:hAnsi="Calibri" w:cs="Times New Roman"/>
        </w:rPr>
        <w:t>.</w:t>
      </w:r>
    </w:p>
    <w:p w14:paraId="03E23941"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19. Candidates wishing to apply for a studentship must apply directly to this E-mail address </w:t>
      </w:r>
      <w:hyperlink r:id="rId11" w:history="1">
        <w:r w:rsidRPr="0066519F">
          <w:rPr>
            <w:rFonts w:ascii="Calibri" w:eastAsia="Calibri" w:hAnsi="Calibri" w:cs="Times New Roman"/>
            <w:color w:val="0563C1" w:themeColor="hyperlink"/>
            <w:u w:val="single"/>
          </w:rPr>
          <w:t>pgphd.im@pg.com</w:t>
        </w:r>
      </w:hyperlink>
      <w:r w:rsidRPr="0066519F">
        <w:rPr>
          <w:rFonts w:ascii="Calibri" w:eastAsia="Calibri" w:hAnsi="Calibri" w:cs="Times New Roman"/>
        </w:rPr>
        <w:t xml:space="preserve"> by the date detailed in the competition timetable (see Appendix 1 for a full timeline of the competition, for this second cohort this date will be 20</w:t>
      </w:r>
      <w:r w:rsidRPr="0066519F">
        <w:rPr>
          <w:rFonts w:ascii="Calibri" w:eastAsia="Calibri" w:hAnsi="Calibri" w:cs="Times New Roman"/>
          <w:vertAlign w:val="superscript"/>
        </w:rPr>
        <w:t>th</w:t>
      </w:r>
      <w:r w:rsidRPr="0066519F">
        <w:rPr>
          <w:rFonts w:ascii="Calibri" w:eastAsia="Calibri" w:hAnsi="Calibri" w:cs="Times New Roman"/>
        </w:rPr>
        <w:t xml:space="preserve"> November 2026). </w:t>
      </w:r>
    </w:p>
    <w:p w14:paraId="18BB291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20. Candidates need to submit items to the E-mail address </w:t>
      </w:r>
      <w:hyperlink r:id="rId12" w:history="1">
        <w:r w:rsidRPr="0066519F">
          <w:rPr>
            <w:rFonts w:ascii="Calibri" w:eastAsia="Calibri" w:hAnsi="Calibri" w:cs="Times New Roman"/>
            <w:color w:val="0563C1" w:themeColor="hyperlink"/>
            <w:u w:val="single"/>
          </w:rPr>
          <w:t>pgphd.im@pg.com</w:t>
        </w:r>
      </w:hyperlink>
      <w:r w:rsidRPr="0066519F">
        <w:rPr>
          <w:rFonts w:ascii="Calibri" w:eastAsia="Calibri" w:hAnsi="Calibri" w:cs="Times New Roman"/>
        </w:rPr>
        <w:t>:</w:t>
      </w:r>
    </w:p>
    <w:p w14:paraId="5F240CD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a) Current CV [maximum 2 pages] – this needs to include qualifications &amp; two references.</w:t>
      </w:r>
    </w:p>
    <w:p w14:paraId="050DFB9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b) A personal statement (maximum 500 words). </w:t>
      </w:r>
    </w:p>
    <w:p w14:paraId="04787A2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c) A completed BISCI IDLA Equal Opportunities Monitoring form.</w:t>
      </w:r>
    </w:p>
    <w:p w14:paraId="1CF34F3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d) A cover note indicating which project within the IDLA they are applying for as their first choice and whether interested in any of the other projects.</w:t>
      </w:r>
    </w:p>
    <w:p w14:paraId="3D33908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21. Candidates should avoid nominating referees who are named as their potential supervisors in their application; however, if this is not possible a justification of their use as a referee should be provided within the body of the reference. </w:t>
      </w:r>
    </w:p>
    <w:p w14:paraId="16FE6B38" w14:textId="02A7274A" w:rsidR="006C26E0" w:rsidRPr="0066519F" w:rsidRDefault="006C26E0" w:rsidP="006C26E0">
      <w:pPr>
        <w:spacing w:line="256" w:lineRule="auto"/>
        <w:jc w:val="both"/>
        <w:rPr>
          <w:rFonts w:ascii="Calibri" w:eastAsia="Calibri" w:hAnsi="Calibri" w:cs="Times New Roman"/>
        </w:rPr>
      </w:pPr>
      <w:r w:rsidRPr="0066519F">
        <w:rPr>
          <w:rFonts w:ascii="Times New Roman" w:eastAsia="Calibri" w:hAnsi="Times New Roman" w:cs="Times New Roman"/>
          <w:sz w:val="24"/>
          <w:szCs w:val="24"/>
          <w:lang w:eastAsia="en-GB"/>
        </w:rPr>
        <w:br w:type="page"/>
      </w:r>
      <w:r w:rsidRPr="0066519F">
        <w:rPr>
          <w:rFonts w:ascii="Calibri" w:eastAsia="Calibri" w:hAnsi="Calibri" w:cs="Times New Roman"/>
        </w:rPr>
        <w:lastRenderedPageBreak/>
        <w:t xml:space="preserve">NOMINATING CANDIDATES </w:t>
      </w:r>
    </w:p>
    <w:p w14:paraId="396408C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22. Each University will submit the selected nominated candidate for each of the lead projects advertised. </w:t>
      </w:r>
    </w:p>
    <w:p w14:paraId="2520EC65" w14:textId="77777777" w:rsidR="00846D93" w:rsidRPr="0066519F" w:rsidRDefault="006C26E0" w:rsidP="00846D93">
      <w:pPr>
        <w:spacing w:line="256" w:lineRule="auto"/>
        <w:jc w:val="both"/>
        <w:rPr>
          <w:rFonts w:ascii="Calibri" w:eastAsia="Calibri" w:hAnsi="Calibri" w:cs="Times New Roman"/>
        </w:rPr>
      </w:pPr>
      <w:r w:rsidRPr="0066519F">
        <w:rPr>
          <w:rFonts w:ascii="Calibri" w:eastAsia="Calibri" w:hAnsi="Calibri" w:cs="Times New Roman"/>
        </w:rPr>
        <w:t xml:space="preserve">23. </w:t>
      </w:r>
      <w:r w:rsidR="00846D93" w:rsidRPr="0066519F">
        <w:rPr>
          <w:rFonts w:ascii="Calibri" w:eastAsia="Calibri" w:hAnsi="Calibri" w:cs="Times New Roman"/>
        </w:rPr>
        <w:t xml:space="preserve">To comply with the UKRI cap on international studentship awards, a maximum of one international candidate may be nominated across all participating universities for this </w:t>
      </w:r>
      <w:proofErr w:type="spellStart"/>
      <w:r w:rsidR="00846D93" w:rsidRPr="0066519F">
        <w:rPr>
          <w:rFonts w:ascii="Calibri" w:eastAsia="Calibri" w:hAnsi="Calibri" w:cs="Times New Roman"/>
        </w:rPr>
        <w:t>BiSCI</w:t>
      </w:r>
      <w:proofErr w:type="spellEnd"/>
      <w:r w:rsidR="00846D93" w:rsidRPr="0066519F">
        <w:rPr>
          <w:rFonts w:ascii="Calibri" w:eastAsia="Calibri" w:hAnsi="Calibri" w:cs="Times New Roman"/>
        </w:rPr>
        <w:t xml:space="preserve"> cohort.</w:t>
      </w:r>
    </w:p>
    <w:p w14:paraId="4DB288EC" w14:textId="7B19A51F" w:rsidR="006C26E0" w:rsidRPr="0066519F" w:rsidRDefault="006C26E0" w:rsidP="006C26E0">
      <w:pPr>
        <w:spacing w:line="256" w:lineRule="auto"/>
        <w:jc w:val="both"/>
        <w:rPr>
          <w:rFonts w:ascii="Calibri" w:eastAsia="Calibri" w:hAnsi="Calibri" w:cs="Times New Roman"/>
        </w:rPr>
      </w:pPr>
    </w:p>
    <w:p w14:paraId="553BA784" w14:textId="77777777" w:rsidR="006C26E0" w:rsidRPr="0066519F" w:rsidRDefault="006C26E0" w:rsidP="006C26E0">
      <w:pPr>
        <w:spacing w:line="256" w:lineRule="auto"/>
        <w:jc w:val="both"/>
        <w:rPr>
          <w:rFonts w:ascii="Calibri" w:eastAsia="Calibri" w:hAnsi="Calibri" w:cs="Times New Roman"/>
        </w:rPr>
      </w:pPr>
    </w:p>
    <w:p w14:paraId="6C964E5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ASSESSMENT PROCESS </w:t>
      </w:r>
    </w:p>
    <w:p w14:paraId="5D4936B3"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25. Throughout the assessment process, all eligible candidates are assessed and graded against the BISCI IDLA’s Studentship Assessment Scheme. All interviewers should study this Scheme carefully and will follow it to conduct their selection processes. </w:t>
      </w:r>
    </w:p>
    <w:p w14:paraId="5CC4670A"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26. Eligible nominations received by the BISCI IDLA will be reviewed and assessed in the following three stages:</w:t>
      </w:r>
    </w:p>
    <w:p w14:paraId="75B1C7B1"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 xml:space="preserve">Stage 1 Interviews and submission of recommendation on lead student candidates </w:t>
      </w:r>
    </w:p>
    <w:p w14:paraId="4046C211"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Stage 2 Assessment and any recommendations by EDI Board.</w:t>
      </w:r>
    </w:p>
    <w:p w14:paraId="758FEE40" w14:textId="77777777" w:rsidR="006C26E0" w:rsidRPr="0066519F" w:rsidRDefault="006C26E0" w:rsidP="006C26E0">
      <w:pPr>
        <w:numPr>
          <w:ilvl w:val="0"/>
          <w:numId w:val="7"/>
        </w:numPr>
        <w:spacing w:line="256" w:lineRule="auto"/>
        <w:contextualSpacing/>
        <w:jc w:val="both"/>
        <w:rPr>
          <w:rFonts w:ascii="Calibri" w:eastAsia="Calibri" w:hAnsi="Calibri" w:cs="Times New Roman"/>
        </w:rPr>
      </w:pPr>
      <w:r w:rsidRPr="0066519F">
        <w:rPr>
          <w:rFonts w:ascii="Calibri" w:eastAsia="Calibri" w:hAnsi="Calibri" w:cs="Times New Roman"/>
        </w:rPr>
        <w:t>Stage 3 Final Decision by Management Board on who to offer final posts.</w:t>
      </w:r>
    </w:p>
    <w:p w14:paraId="2DB3F28E"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MAKING AWARDS TO SUCCESSFUL CANDIDATES</w:t>
      </w:r>
    </w:p>
    <w:p w14:paraId="6B6CFB3D"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27. Following the meeting of the BISCI IDLA Management Board, the BISCI IDLA Operations Group will process and issue award notifications to successful candidates, whilst also informing the partners of the status of all other candidates, which includes candidates placed on the reserve list and those that have not been successful. Feedback will not be provided by the Board directly to students and will only be available through prospective supervisors. </w:t>
      </w:r>
    </w:p>
    <w:p w14:paraId="4EEF4234"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28. Prior to the issuing of award notifications to successful candidates, an internal memorandum will be circulated to all partners confirming the candidates that have been successful and those on the reserve list. If there are any specific issues and/or questions affecting candidates following the deliberations of the Management Board, these will be followed up in the run-up to the issuing of this internal memorandum and any further contact with the candidates. </w:t>
      </w:r>
    </w:p>
    <w:p w14:paraId="4BCBA639"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29. In cases where a successful candidate decides not to accept the offer of a BISCI IDLA studentship, the next highest-ranked candidate on the reserve list will be contacted and made an offer of an award. Where a partner is aware that a nominated candidate has decided to withdraw from the competition it should be reported to the BISCI IDLA immediately to ensure such decisions are communicated and appropriate action taken.</w:t>
      </w:r>
    </w:p>
    <w:p w14:paraId="5EB4B0AC"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30. In the event there are no applicants or no suitable applicants for an advertised post and no other candidates from the reserve list of other IDLA projects who take up the offer of the post, the next best-ranked project on the list will then be advertised.</w:t>
      </w:r>
    </w:p>
    <w:p w14:paraId="54EA99C3" w14:textId="77777777" w:rsidR="006C26E0" w:rsidRPr="0066519F" w:rsidRDefault="006C26E0" w:rsidP="006C26E0">
      <w:pPr>
        <w:spacing w:line="256" w:lineRule="auto"/>
        <w:jc w:val="both"/>
        <w:rPr>
          <w:rFonts w:ascii="Calibri" w:eastAsia="Calibri" w:hAnsi="Calibri" w:cs="Times New Roman"/>
        </w:rPr>
      </w:pPr>
      <w:bookmarkStart w:id="0" w:name="_Hlk89970096"/>
      <w:r w:rsidRPr="0066519F">
        <w:rPr>
          <w:rFonts w:ascii="Calibri" w:eastAsia="Calibri" w:hAnsi="Calibri" w:cs="Times New Roman"/>
        </w:rPr>
        <w:t xml:space="preserve">31. The decisions regarding awards and the issuing of results will take place by the date noted in appendix 1. (See Appendix 1 for a full timeline of competition). Students are be expected to respond within 1 week to accept or decline an offer. This offer will be contingent on completion of the online application form for the host University to allow student details to be registered with their host institution and confirm they meet the required standard entry requirements. </w:t>
      </w:r>
    </w:p>
    <w:p w14:paraId="4719C187" w14:textId="77777777" w:rsidR="006C26E0" w:rsidRPr="0066519F" w:rsidRDefault="006C26E0" w:rsidP="006C26E0">
      <w:pPr>
        <w:spacing w:line="256" w:lineRule="auto"/>
        <w:jc w:val="both"/>
        <w:rPr>
          <w:rFonts w:ascii="Calibri" w:eastAsia="Calibri" w:hAnsi="Calibri" w:cs="Calibri"/>
        </w:rPr>
      </w:pPr>
      <w:r w:rsidRPr="0066519F">
        <w:rPr>
          <w:rFonts w:ascii="Calibri" w:eastAsia="Calibri" w:hAnsi="Calibri" w:cs="Calibri"/>
        </w:rPr>
        <w:lastRenderedPageBreak/>
        <w:t xml:space="preserve">Please note eligibility requirement: </w:t>
      </w:r>
    </w:p>
    <w:p w14:paraId="42224344"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 xml:space="preserve">Academic excellence of the proposed student </w:t>
      </w:r>
      <w:r w:rsidRPr="0066519F">
        <w:rPr>
          <w:rFonts w:ascii="Calibri" w:eastAsia="Calibri" w:hAnsi="Calibri" w:cs="Calibri"/>
          <w:i/>
          <w:iCs/>
          <w:color w:val="000000"/>
        </w:rPr>
        <w:t>i.e.</w:t>
      </w:r>
      <w:r w:rsidRPr="0066519F">
        <w:rPr>
          <w:rFonts w:ascii="Calibri" w:eastAsia="Calibri" w:hAnsi="Calibri" w:cs="Calibri"/>
          <w:color w:val="000000"/>
        </w:rPr>
        <w:t xml:space="preserve"> 2:1 (or equivalent GPA from non-UK universities [preference for 1st class honours]); or a Masters (preference for Merit or above).</w:t>
      </w:r>
    </w:p>
    <w:p w14:paraId="377B5EC5"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Appropriate IELTS or equivalent score, if required.</w:t>
      </w:r>
    </w:p>
    <w:p w14:paraId="12EF87F5" w14:textId="77777777" w:rsidR="006C26E0" w:rsidRPr="0066519F" w:rsidRDefault="006C26E0" w:rsidP="006C26E0">
      <w:pPr>
        <w:numPr>
          <w:ilvl w:val="0"/>
          <w:numId w:val="8"/>
        </w:numPr>
        <w:spacing w:after="0" w:line="276" w:lineRule="auto"/>
        <w:ind w:left="1080"/>
        <w:contextualSpacing/>
        <w:jc w:val="both"/>
        <w:rPr>
          <w:rFonts w:ascii="Calibri" w:eastAsia="Calibri" w:hAnsi="Calibri" w:cs="Calibri"/>
          <w:color w:val="000000"/>
        </w:rPr>
      </w:pPr>
      <w:r w:rsidRPr="0066519F">
        <w:rPr>
          <w:rFonts w:ascii="Calibri" w:eastAsia="Calibri" w:hAnsi="Calibri" w:cs="Calibri"/>
          <w:color w:val="000000"/>
        </w:rPr>
        <w:t>Applicants cannot apply for this funding if currently engaged in Doctoral study.</w:t>
      </w:r>
    </w:p>
    <w:p w14:paraId="0A3F740F" w14:textId="77777777" w:rsidR="006C26E0" w:rsidRPr="0066519F" w:rsidRDefault="006C26E0" w:rsidP="006C26E0">
      <w:pPr>
        <w:spacing w:line="256" w:lineRule="auto"/>
        <w:jc w:val="both"/>
        <w:rPr>
          <w:rFonts w:ascii="Calibri" w:eastAsia="Calibri" w:hAnsi="Calibri" w:cs="Calibri"/>
        </w:rPr>
      </w:pPr>
    </w:p>
    <w:bookmarkEnd w:id="0"/>
    <w:p w14:paraId="3F5423D0"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32. Following the announcement of the competition’s results and the subsequent final confirmation of candidates in receipt of funding, de-briefing sessions will be held within the IDLA to consider the outcomes of the process and address any relevant academic and operational issues arising.</w:t>
      </w:r>
    </w:p>
    <w:p w14:paraId="19EEBD87"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 xml:space="preserve">Part 3 - Further Information </w:t>
      </w:r>
    </w:p>
    <w:p w14:paraId="76E9AB26" w14:textId="77777777" w:rsidR="006C26E0" w:rsidRPr="0066519F" w:rsidRDefault="006C26E0" w:rsidP="006C26E0">
      <w:pPr>
        <w:spacing w:line="256" w:lineRule="auto"/>
        <w:jc w:val="both"/>
        <w:rPr>
          <w:rFonts w:ascii="Calibri" w:eastAsia="Calibri" w:hAnsi="Calibri" w:cs="Times New Roman"/>
        </w:rPr>
      </w:pPr>
      <w:r w:rsidRPr="0066519F">
        <w:rPr>
          <w:rFonts w:ascii="Calibri" w:eastAsia="Calibri" w:hAnsi="Calibri" w:cs="Times New Roman"/>
        </w:rPr>
        <w:t>36. If students or staff need any further information about the BISCI IDLA’s annual studentship competition please contact their local administrator:</w:t>
      </w:r>
    </w:p>
    <w:p w14:paraId="7D57B91A" w14:textId="77777777" w:rsidR="006C26E0" w:rsidRPr="0066519F" w:rsidRDefault="006C26E0" w:rsidP="006C26E0">
      <w:pPr>
        <w:spacing w:line="256" w:lineRule="auto"/>
        <w:rPr>
          <w:rFonts w:ascii="Calibri" w:eastAsia="Calibri" w:hAnsi="Calibri" w:cs="Times New Roman"/>
        </w:rPr>
      </w:pPr>
    </w:p>
    <w:p w14:paraId="06663C98" w14:textId="77777777" w:rsidR="006C26E0" w:rsidRPr="0066519F" w:rsidRDefault="006C26E0" w:rsidP="006C26E0">
      <w:pPr>
        <w:spacing w:line="256" w:lineRule="auto"/>
        <w:rPr>
          <w:rFonts w:ascii="Calibri" w:eastAsia="Calibri" w:hAnsi="Calibri" w:cs="Times New Roman"/>
        </w:rPr>
      </w:pPr>
    </w:p>
    <w:p w14:paraId="1B2F3E61" w14:textId="77777777" w:rsidR="006C26E0" w:rsidRPr="0066519F" w:rsidRDefault="006C26E0" w:rsidP="006C26E0">
      <w:pPr>
        <w:spacing w:line="256" w:lineRule="auto"/>
        <w:rPr>
          <w:rFonts w:ascii="Calibri" w:eastAsia="Calibri" w:hAnsi="Calibri" w:cs="Times New Roman"/>
        </w:rPr>
      </w:pPr>
    </w:p>
    <w:p w14:paraId="7CB09245" w14:textId="296514A8" w:rsidR="00490298" w:rsidRPr="0066519F" w:rsidRDefault="005155F7" w:rsidP="006103FE">
      <w:pPr>
        <w:pStyle w:val="ListParagraph"/>
        <w:numPr>
          <w:ilvl w:val="0"/>
          <w:numId w:val="2"/>
        </w:numPr>
        <w:jc w:val="both"/>
        <w:rPr>
          <w:lang w:val="de-DE"/>
        </w:rPr>
      </w:pPr>
      <w:r w:rsidRPr="0066519F">
        <w:rPr>
          <w:lang w:val="de-DE"/>
        </w:rPr>
        <w:t xml:space="preserve">Durham </w:t>
      </w:r>
      <w:r w:rsidR="0083235C" w:rsidRPr="0066519F">
        <w:rPr>
          <w:lang w:val="de-DE"/>
        </w:rPr>
        <w:t>–</w:t>
      </w:r>
      <w:r w:rsidRPr="0066519F">
        <w:rPr>
          <w:lang w:val="de-DE"/>
        </w:rPr>
        <w:t xml:space="preserve"> </w:t>
      </w:r>
      <w:hyperlink r:id="rId13" w:history="1">
        <w:r w:rsidR="00AE08CC" w:rsidRPr="0066519F">
          <w:rPr>
            <w:rStyle w:val="Hyperlink"/>
            <w:lang w:val="de-DE"/>
          </w:rPr>
          <w:t>biosci.pgadmin@durham.ac.uk</w:t>
        </w:r>
      </w:hyperlink>
      <w:r w:rsidR="00AE08CC" w:rsidRPr="0066519F">
        <w:rPr>
          <w:lang w:val="de-DE"/>
        </w:rPr>
        <w:t xml:space="preserve"> </w:t>
      </w:r>
    </w:p>
    <w:p w14:paraId="6C9195B2" w14:textId="77777777" w:rsidR="00AE08CC" w:rsidRPr="0066519F" w:rsidRDefault="00AE08CC" w:rsidP="00AE08CC">
      <w:pPr>
        <w:pStyle w:val="ListParagraph"/>
        <w:jc w:val="both"/>
        <w:rPr>
          <w:lang w:val="de-DE"/>
        </w:rPr>
      </w:pPr>
    </w:p>
    <w:p w14:paraId="4848A720" w14:textId="36C96EB7" w:rsidR="00A20D3B" w:rsidRPr="0066519F" w:rsidRDefault="005155F7" w:rsidP="008C2D20">
      <w:pPr>
        <w:pStyle w:val="ListParagraph"/>
        <w:numPr>
          <w:ilvl w:val="0"/>
          <w:numId w:val="5"/>
        </w:numPr>
        <w:jc w:val="both"/>
      </w:pPr>
      <w:r w:rsidRPr="0066519F">
        <w:t xml:space="preserve">Newcastle </w:t>
      </w:r>
      <w:r w:rsidR="00605B41" w:rsidRPr="0066519F">
        <w:t>–</w:t>
      </w:r>
      <w:r w:rsidR="002E2945" w:rsidRPr="0066519F">
        <w:t xml:space="preserve">Craig Hinds </w:t>
      </w:r>
      <w:hyperlink r:id="rId14" w:history="1">
        <w:r w:rsidR="002E2945" w:rsidRPr="0066519F">
          <w:rPr>
            <w:rStyle w:val="Hyperlink"/>
          </w:rPr>
          <w:t>Craig.Hinds@newcastle.ac.uk</w:t>
        </w:r>
      </w:hyperlink>
      <w:r w:rsidR="002E2945" w:rsidRPr="0066519F">
        <w:t xml:space="preserve"> </w:t>
      </w:r>
    </w:p>
    <w:p w14:paraId="28841C9D" w14:textId="593AA652" w:rsidR="00E10970" w:rsidRPr="0066519F" w:rsidRDefault="00E10970" w:rsidP="008C2D20">
      <w:pPr>
        <w:pStyle w:val="ListParagraph"/>
        <w:jc w:val="both"/>
      </w:pPr>
    </w:p>
    <w:p w14:paraId="5D4877BB" w14:textId="77937B1A" w:rsidR="005155F7" w:rsidRPr="0066519F" w:rsidRDefault="005155F7" w:rsidP="00AE3E27">
      <w:pPr>
        <w:pStyle w:val="ListParagraph"/>
        <w:numPr>
          <w:ilvl w:val="0"/>
          <w:numId w:val="2"/>
        </w:numPr>
        <w:jc w:val="both"/>
        <w:rPr>
          <w:lang w:val="es-ES"/>
        </w:rPr>
      </w:pPr>
      <w:proofErr w:type="spellStart"/>
      <w:r w:rsidRPr="0066519F">
        <w:rPr>
          <w:lang w:val="es-ES"/>
        </w:rPr>
        <w:t>Northumbria</w:t>
      </w:r>
      <w:proofErr w:type="spellEnd"/>
      <w:r w:rsidRPr="0066519F">
        <w:rPr>
          <w:lang w:val="es-ES"/>
        </w:rPr>
        <w:t xml:space="preserve"> </w:t>
      </w:r>
      <w:r w:rsidR="0083235C" w:rsidRPr="0066519F">
        <w:rPr>
          <w:lang w:val="es-ES"/>
        </w:rPr>
        <w:t>–</w:t>
      </w:r>
      <w:r w:rsidRPr="0066519F">
        <w:rPr>
          <w:lang w:val="es-ES"/>
        </w:rPr>
        <w:t xml:space="preserve"> </w:t>
      </w:r>
      <w:hyperlink r:id="rId15" w:tgtFrame="_blank" w:tooltip="mailto:fc.pgr.admissions@northumbria.ac.uk" w:history="1">
        <w:r w:rsidR="00AE3E27" w:rsidRPr="0066519F">
          <w:rPr>
            <w:rStyle w:val="Hyperlink"/>
            <w:lang w:val="es-ES"/>
          </w:rPr>
          <w:t>fc.pgr.admissions@northumbria.ac.uk</w:t>
        </w:r>
      </w:hyperlink>
    </w:p>
    <w:p w14:paraId="32E7A4DD" w14:textId="77777777" w:rsidR="001B341B" w:rsidRPr="0066519F" w:rsidRDefault="001B341B" w:rsidP="001B341B">
      <w:pPr>
        <w:pStyle w:val="ListParagraph"/>
        <w:jc w:val="both"/>
        <w:rPr>
          <w:lang w:val="es-ES"/>
        </w:rPr>
      </w:pPr>
    </w:p>
    <w:p w14:paraId="4E2A7E88" w14:textId="1A187190" w:rsidR="001B341B" w:rsidRPr="0066519F" w:rsidRDefault="001B341B" w:rsidP="00876862">
      <w:pPr>
        <w:pStyle w:val="ListParagraph"/>
        <w:numPr>
          <w:ilvl w:val="0"/>
          <w:numId w:val="2"/>
        </w:numPr>
        <w:jc w:val="both"/>
      </w:pPr>
      <w:r w:rsidRPr="0066519F">
        <w:t>Imperial</w:t>
      </w:r>
      <w:r w:rsidR="00876862" w:rsidRPr="0066519F">
        <w:t>-</w:t>
      </w:r>
      <w:r w:rsidR="00876862" w:rsidRPr="0066519F">
        <w:rPr>
          <w:rFonts w:eastAsia="Times New Roman"/>
          <w:color w:val="000000"/>
        </w:rPr>
        <w:t xml:space="preserve"> </w:t>
      </w:r>
      <w:r w:rsidR="00876862" w:rsidRPr="0066519F">
        <w:t xml:space="preserve">Kelly Condra- </w:t>
      </w:r>
      <w:hyperlink r:id="rId16" w:history="1">
        <w:r w:rsidR="00876862" w:rsidRPr="0066519F">
          <w:rPr>
            <w:rStyle w:val="Hyperlink"/>
          </w:rPr>
          <w:t>bg-pgr@imperial.ac.uk</w:t>
        </w:r>
      </w:hyperlink>
    </w:p>
    <w:p w14:paraId="316CACF0" w14:textId="77777777" w:rsidR="0083235C" w:rsidRPr="0066519F" w:rsidRDefault="0083235C" w:rsidP="008C2D20">
      <w:pPr>
        <w:pStyle w:val="ListParagraph"/>
        <w:jc w:val="both"/>
      </w:pPr>
    </w:p>
    <w:p w14:paraId="09B820B8" w14:textId="59CC94E3" w:rsidR="0023334B" w:rsidRPr="0066519F" w:rsidRDefault="005155F7" w:rsidP="008C2D20">
      <w:pPr>
        <w:pStyle w:val="ListParagraph"/>
        <w:numPr>
          <w:ilvl w:val="0"/>
          <w:numId w:val="2"/>
        </w:numPr>
        <w:jc w:val="both"/>
      </w:pPr>
      <w:r w:rsidRPr="0066519F">
        <w:t xml:space="preserve">Procter &amp; Gamble – </w:t>
      </w:r>
      <w:r w:rsidR="00DA3F5C" w:rsidRPr="0066519F">
        <w:t>Susan Armstrong (</w:t>
      </w:r>
      <w:hyperlink r:id="rId17" w:history="1">
        <w:r w:rsidR="00DA3F5C" w:rsidRPr="0066519F">
          <w:rPr>
            <w:rStyle w:val="Hyperlink"/>
          </w:rPr>
          <w:t>armstrong.s.3@pg.com</w:t>
        </w:r>
      </w:hyperlink>
      <w:r w:rsidR="00DA3F5C" w:rsidRPr="0066519F">
        <w:t>)</w:t>
      </w:r>
    </w:p>
    <w:p w14:paraId="5CC7CCCF" w14:textId="179B8C09" w:rsidR="00DA60CC" w:rsidRPr="0066519F" w:rsidRDefault="00DA60CC" w:rsidP="008C2D20">
      <w:pPr>
        <w:jc w:val="both"/>
      </w:pPr>
    </w:p>
    <w:p w14:paraId="143C502F" w14:textId="3D625FA5" w:rsidR="00DA60CC" w:rsidRPr="0066519F" w:rsidRDefault="00A72036" w:rsidP="008C2D20">
      <w:pPr>
        <w:jc w:val="both"/>
        <w:rPr>
          <w:b/>
          <w:bCs/>
        </w:rPr>
      </w:pPr>
      <w:r w:rsidRPr="0066519F">
        <w:rPr>
          <w:b/>
          <w:bCs/>
        </w:rPr>
        <w:t>Appendix 1 – Application Process and Timetable</w:t>
      </w:r>
    </w:p>
    <w:tbl>
      <w:tblPr>
        <w:tblW w:w="0" w:type="auto"/>
        <w:tblCellMar>
          <w:left w:w="0" w:type="dxa"/>
          <w:right w:w="0" w:type="dxa"/>
        </w:tblCellMar>
        <w:tblLook w:val="04A0" w:firstRow="1" w:lastRow="0" w:firstColumn="1" w:lastColumn="0" w:noHBand="0" w:noVBand="1"/>
      </w:tblPr>
      <w:tblGrid>
        <w:gridCol w:w="2530"/>
        <w:gridCol w:w="3678"/>
        <w:gridCol w:w="2668"/>
      </w:tblGrid>
      <w:tr w:rsidR="008F639A" w:rsidRPr="0066519F" w14:paraId="30E9E897" w14:textId="77777777" w:rsidTr="008F639A">
        <w:tc>
          <w:tcPr>
            <w:tcW w:w="2530" w:type="dxa"/>
            <w:tcBorders>
              <w:top w:val="single" w:sz="8" w:space="0" w:color="A3A3A3"/>
              <w:left w:val="single" w:sz="8" w:space="0" w:color="A3A3A3"/>
              <w:bottom w:val="single" w:sz="8" w:space="0" w:color="A3A3A3"/>
              <w:right w:val="single" w:sz="8" w:space="0" w:color="A3A3A3"/>
            </w:tcBorders>
            <w:shd w:val="clear" w:color="auto" w:fill="E2EFD9"/>
            <w:tcMar>
              <w:top w:w="80" w:type="dxa"/>
              <w:left w:w="80" w:type="dxa"/>
              <w:bottom w:w="80" w:type="dxa"/>
              <w:right w:w="80" w:type="dxa"/>
            </w:tcMar>
            <w:hideMark/>
          </w:tcPr>
          <w:p w14:paraId="086612A4" w14:textId="77777777" w:rsidR="008F639A" w:rsidRPr="0066519F" w:rsidRDefault="008F639A">
            <w:pPr>
              <w:jc w:val="center"/>
              <w:rPr>
                <w:color w:val="000000"/>
              </w:rPr>
            </w:pPr>
            <w:r w:rsidRPr="0066519F">
              <w:rPr>
                <w:b/>
                <w:bCs/>
                <w:color w:val="000000"/>
              </w:rPr>
              <w:t>Student Recruitment Process</w:t>
            </w:r>
          </w:p>
        </w:tc>
        <w:tc>
          <w:tcPr>
            <w:tcW w:w="3678" w:type="dxa"/>
            <w:tcBorders>
              <w:top w:val="single" w:sz="8" w:space="0" w:color="A3A3A3"/>
              <w:left w:val="nil"/>
              <w:bottom w:val="single" w:sz="8" w:space="0" w:color="A3A3A3"/>
              <w:right w:val="single" w:sz="8" w:space="0" w:color="A3A3A3"/>
            </w:tcBorders>
            <w:shd w:val="clear" w:color="auto" w:fill="E2EFD9"/>
            <w:tcMar>
              <w:top w:w="80" w:type="dxa"/>
              <w:left w:w="80" w:type="dxa"/>
              <w:bottom w:w="80" w:type="dxa"/>
              <w:right w:w="80" w:type="dxa"/>
            </w:tcMar>
            <w:hideMark/>
          </w:tcPr>
          <w:p w14:paraId="4EE5D819" w14:textId="77777777" w:rsidR="008F639A" w:rsidRPr="0066519F" w:rsidRDefault="008F639A">
            <w:r w:rsidRPr="0066519F">
              <w:rPr>
                <w:b/>
                <w:bCs/>
                <w:color w:val="000000"/>
              </w:rPr>
              <w:t>Activity</w:t>
            </w:r>
          </w:p>
        </w:tc>
        <w:tc>
          <w:tcPr>
            <w:tcW w:w="2668" w:type="dxa"/>
            <w:tcBorders>
              <w:top w:val="single" w:sz="8" w:space="0" w:color="A3A3A3"/>
              <w:left w:val="nil"/>
              <w:bottom w:val="single" w:sz="8" w:space="0" w:color="A3A3A3"/>
              <w:right w:val="single" w:sz="8" w:space="0" w:color="A3A3A3"/>
            </w:tcBorders>
            <w:shd w:val="clear" w:color="auto" w:fill="E2EFD9"/>
            <w:tcMar>
              <w:top w:w="80" w:type="dxa"/>
              <w:left w:w="80" w:type="dxa"/>
              <w:bottom w:w="80" w:type="dxa"/>
              <w:right w:w="80" w:type="dxa"/>
            </w:tcMar>
            <w:hideMark/>
          </w:tcPr>
          <w:p w14:paraId="62A00B99" w14:textId="77777777" w:rsidR="008F639A" w:rsidRPr="0066519F" w:rsidRDefault="008F639A">
            <w:r w:rsidRPr="0066519F">
              <w:rPr>
                <w:b/>
                <w:bCs/>
                <w:color w:val="000000"/>
              </w:rPr>
              <w:t>Responsible</w:t>
            </w:r>
          </w:p>
        </w:tc>
      </w:tr>
      <w:tr w:rsidR="008F639A" w:rsidRPr="0066519F" w14:paraId="10046123"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188CB3F0" w14:textId="549F8E69" w:rsidR="008F639A" w:rsidRPr="0066519F" w:rsidRDefault="008F639A">
            <w:r w:rsidRPr="0066519F">
              <w:rPr>
                <w:b/>
                <w:bCs/>
              </w:rPr>
              <w:t xml:space="preserve">October </w:t>
            </w:r>
            <w:r w:rsidR="001A4A1B" w:rsidRPr="0066519F">
              <w:rPr>
                <w:b/>
                <w:bCs/>
              </w:rPr>
              <w:t>22</w:t>
            </w:r>
            <w:r w:rsidR="00BC270F" w:rsidRPr="0066519F">
              <w:rPr>
                <w:b/>
                <w:bCs/>
                <w:vertAlign w:val="superscript"/>
              </w:rPr>
              <w:t>nd</w:t>
            </w:r>
            <w:r w:rsidR="00BC270F" w:rsidRPr="0066519F">
              <w:rPr>
                <w:b/>
                <w:bCs/>
              </w:rPr>
              <w:t>,</w:t>
            </w:r>
            <w:r w:rsidRPr="0066519F">
              <w:rPr>
                <w:b/>
                <w:bCs/>
              </w:rPr>
              <w:t xml:space="preserve"> 202</w:t>
            </w:r>
            <w:r w:rsidR="001A4A1B"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68DFB1D0" w14:textId="04FC83B7" w:rsidR="008F639A" w:rsidRPr="0066519F" w:rsidRDefault="008F639A">
            <w:r w:rsidRPr="0066519F">
              <w:t xml:space="preserve">Adverts </w:t>
            </w:r>
            <w:r w:rsidR="00BC270F" w:rsidRPr="0066519F">
              <w:t>must</w:t>
            </w:r>
            <w:r w:rsidRPr="0066519F">
              <w:t xml:space="preserve"> be ready</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68B5582B" w14:textId="77777777" w:rsidR="008F639A" w:rsidRPr="0066519F" w:rsidRDefault="008F639A">
            <w:r w:rsidRPr="0066519F">
              <w:t>Academic &amp; Industrial supervisors</w:t>
            </w:r>
          </w:p>
        </w:tc>
      </w:tr>
      <w:tr w:rsidR="008F639A" w:rsidRPr="0066519F" w14:paraId="65810227"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130F2454" w14:textId="07406A40" w:rsidR="008F639A" w:rsidRPr="0066519F" w:rsidRDefault="008F639A">
            <w:r w:rsidRPr="0066519F">
              <w:rPr>
                <w:b/>
                <w:bCs/>
              </w:rPr>
              <w:t xml:space="preserve">October </w:t>
            </w:r>
            <w:r w:rsidR="001A4A1B" w:rsidRPr="0066519F">
              <w:rPr>
                <w:b/>
                <w:bCs/>
              </w:rPr>
              <w:t>23</w:t>
            </w:r>
            <w:r w:rsidR="001A4A1B" w:rsidRPr="0066519F">
              <w:rPr>
                <w:b/>
                <w:bCs/>
                <w:vertAlign w:val="superscript"/>
              </w:rPr>
              <w:t>rd</w:t>
            </w:r>
            <w:r w:rsidR="001A4A1B" w:rsidRPr="0066519F">
              <w:rPr>
                <w:b/>
                <w:bCs/>
              </w:rPr>
              <w:t>,</w:t>
            </w:r>
            <w:r w:rsidRPr="0066519F">
              <w:rPr>
                <w:b/>
                <w:bCs/>
              </w:rPr>
              <w:t xml:space="preserve"> 202</w:t>
            </w:r>
            <w:r w:rsidR="001A4A1B"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46F16F3A" w14:textId="77777777" w:rsidR="008F639A" w:rsidRPr="0066519F" w:rsidRDefault="008F639A">
            <w:r w:rsidRPr="0066519F">
              <w:t>Adverts to be posted for the selected projects</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3744CD34" w14:textId="77777777" w:rsidR="008F639A" w:rsidRPr="0066519F" w:rsidRDefault="008F639A">
            <w:r w:rsidRPr="0066519F">
              <w:t>Operations Group</w:t>
            </w:r>
          </w:p>
        </w:tc>
      </w:tr>
      <w:tr w:rsidR="008F639A" w:rsidRPr="0066519F" w14:paraId="075E3994"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213C9033" w14:textId="65905338" w:rsidR="00C84A9A" w:rsidRPr="0066519F" w:rsidRDefault="008F639A">
            <w:pPr>
              <w:rPr>
                <w:b/>
                <w:bCs/>
                <w:color w:val="000000"/>
              </w:rPr>
            </w:pPr>
            <w:r w:rsidRPr="0066519F">
              <w:rPr>
                <w:b/>
                <w:bCs/>
                <w:color w:val="000000"/>
              </w:rPr>
              <w:t xml:space="preserve">November </w:t>
            </w:r>
            <w:r w:rsidR="001A4A1B" w:rsidRPr="0066519F">
              <w:rPr>
                <w:b/>
                <w:bCs/>
                <w:color w:val="000000"/>
              </w:rPr>
              <w:t>20</w:t>
            </w:r>
            <w:r w:rsidR="001A4A1B" w:rsidRPr="0066519F">
              <w:rPr>
                <w:b/>
                <w:bCs/>
                <w:color w:val="000000"/>
                <w:vertAlign w:val="superscript"/>
              </w:rPr>
              <w:t>th</w:t>
            </w:r>
            <w:r w:rsidR="008D38EB" w:rsidRPr="0066519F">
              <w:rPr>
                <w:b/>
                <w:bCs/>
                <w:color w:val="000000"/>
              </w:rPr>
              <w:t xml:space="preserve">, </w:t>
            </w:r>
            <w:r w:rsidR="00BC270F" w:rsidRPr="0066519F">
              <w:rPr>
                <w:b/>
                <w:bCs/>
                <w:color w:val="000000"/>
              </w:rPr>
              <w:t>2026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2B74BBF0" w14:textId="77777777" w:rsidR="008F639A" w:rsidRPr="0066519F" w:rsidRDefault="008F639A">
            <w:pPr>
              <w:rPr>
                <w:color w:val="000000"/>
              </w:rPr>
            </w:pPr>
            <w:r w:rsidRPr="0066519F">
              <w:rPr>
                <w:color w:val="000000"/>
              </w:rPr>
              <w:t>Student applications close</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385A9DA3" w14:textId="77777777" w:rsidR="008F639A" w:rsidRPr="0066519F" w:rsidRDefault="008F639A">
            <w:pPr>
              <w:rPr>
                <w:color w:val="000000"/>
              </w:rPr>
            </w:pPr>
            <w:r w:rsidRPr="0066519F">
              <w:rPr>
                <w:color w:val="000000"/>
              </w:rPr>
              <w:t>Applicants</w:t>
            </w:r>
          </w:p>
        </w:tc>
      </w:tr>
      <w:tr w:rsidR="008F639A" w:rsidRPr="0066519F" w14:paraId="2ACCE96E"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44D3A18E" w14:textId="750E41A2" w:rsidR="008F639A" w:rsidRPr="0066519F" w:rsidRDefault="008F639A">
            <w:pPr>
              <w:rPr>
                <w:b/>
                <w:bCs/>
                <w:color w:val="000000"/>
              </w:rPr>
            </w:pPr>
            <w:r w:rsidRPr="0066519F">
              <w:rPr>
                <w:b/>
                <w:bCs/>
                <w:color w:val="000000"/>
              </w:rPr>
              <w:t>November 2</w:t>
            </w:r>
            <w:r w:rsidR="00E005C5" w:rsidRPr="0066519F">
              <w:rPr>
                <w:b/>
                <w:bCs/>
                <w:color w:val="000000"/>
              </w:rPr>
              <w:t>5</w:t>
            </w:r>
            <w:r w:rsidR="00C84A9A" w:rsidRPr="0066519F">
              <w:rPr>
                <w:b/>
                <w:bCs/>
                <w:color w:val="000000"/>
                <w:vertAlign w:val="superscript"/>
              </w:rPr>
              <w:t>th</w:t>
            </w:r>
            <w:r w:rsidRPr="0066519F">
              <w:rPr>
                <w:b/>
                <w:bCs/>
                <w:color w:val="000000"/>
              </w:rPr>
              <w:t>, 202</w:t>
            </w:r>
            <w:r w:rsidR="00E005C5" w:rsidRPr="0066519F">
              <w:rPr>
                <w:b/>
                <w:bCs/>
                <w:color w:val="000000"/>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05E9A6AC" w14:textId="77777777" w:rsidR="008F639A" w:rsidRPr="0066519F" w:rsidRDefault="008F639A">
            <w:pPr>
              <w:rPr>
                <w:color w:val="000000"/>
              </w:rPr>
            </w:pPr>
            <w:r w:rsidRPr="0066519F">
              <w:rPr>
                <w:color w:val="000000"/>
              </w:rPr>
              <w:t>Packs to be given to the interview teams (CVs, application forms)</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6FABBF0B" w14:textId="77777777" w:rsidR="008F639A" w:rsidRPr="0066519F" w:rsidRDefault="008F639A">
            <w:pPr>
              <w:rPr>
                <w:color w:val="000000"/>
              </w:rPr>
            </w:pPr>
            <w:r w:rsidRPr="0066519F">
              <w:t>Operations Group</w:t>
            </w:r>
          </w:p>
        </w:tc>
      </w:tr>
      <w:tr w:rsidR="009B5310" w:rsidRPr="0066519F" w14:paraId="2A84D120"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tcPr>
          <w:p w14:paraId="66424475" w14:textId="235B49F3" w:rsidR="009B5310" w:rsidRPr="0066519F" w:rsidRDefault="00E005C5">
            <w:pPr>
              <w:rPr>
                <w:b/>
                <w:bCs/>
                <w:color w:val="000000"/>
              </w:rPr>
            </w:pPr>
            <w:r w:rsidRPr="0066519F">
              <w:rPr>
                <w:b/>
                <w:bCs/>
                <w:color w:val="000000"/>
              </w:rPr>
              <w:lastRenderedPageBreak/>
              <w:t>December 1</w:t>
            </w:r>
            <w:r w:rsidRPr="0066519F">
              <w:rPr>
                <w:b/>
                <w:bCs/>
                <w:color w:val="000000"/>
                <w:vertAlign w:val="superscript"/>
              </w:rPr>
              <w:t>st</w:t>
            </w:r>
            <w:r w:rsidRPr="0066519F">
              <w:rPr>
                <w:b/>
                <w:bCs/>
                <w:color w:val="000000"/>
              </w:rPr>
              <w:t>,</w:t>
            </w:r>
            <w:r w:rsidR="00C84A9A" w:rsidRPr="0066519F">
              <w:rPr>
                <w:b/>
                <w:bCs/>
                <w:color w:val="000000"/>
                <w:vertAlign w:val="superscript"/>
              </w:rPr>
              <w:t xml:space="preserve"> </w:t>
            </w:r>
            <w:r w:rsidR="00EA1AE3" w:rsidRPr="0066519F">
              <w:rPr>
                <w:b/>
                <w:bCs/>
                <w:color w:val="000000"/>
              </w:rPr>
              <w:t xml:space="preserve">- December </w:t>
            </w:r>
            <w:r w:rsidR="00C84A9A" w:rsidRPr="0066519F">
              <w:rPr>
                <w:b/>
                <w:bCs/>
                <w:color w:val="000000"/>
              </w:rPr>
              <w:t>1</w:t>
            </w:r>
            <w:r w:rsidRPr="0066519F">
              <w:rPr>
                <w:b/>
                <w:bCs/>
                <w:color w:val="000000"/>
              </w:rPr>
              <w:t>5</w:t>
            </w:r>
            <w:r w:rsidR="00EA1AE3" w:rsidRPr="0066519F">
              <w:rPr>
                <w:b/>
                <w:bCs/>
                <w:color w:val="000000"/>
                <w:vertAlign w:val="superscript"/>
              </w:rPr>
              <w:t>th</w:t>
            </w:r>
            <w:r w:rsidR="00EA1AE3" w:rsidRPr="0066519F">
              <w:rPr>
                <w:b/>
                <w:bCs/>
                <w:color w:val="000000"/>
              </w:rPr>
              <w:t xml:space="preserve"> </w:t>
            </w:r>
            <w:r w:rsidR="004754C9" w:rsidRPr="0066519F">
              <w:rPr>
                <w:b/>
                <w:bCs/>
                <w:color w:val="000000"/>
              </w:rPr>
              <w:t>,2026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tcPr>
          <w:p w14:paraId="1749184B" w14:textId="54AF12BD" w:rsidR="009B5310" w:rsidRPr="0066519F" w:rsidRDefault="00EA1AE3">
            <w:pPr>
              <w:rPr>
                <w:color w:val="000000"/>
              </w:rPr>
            </w:pPr>
            <w:r w:rsidRPr="0066519F">
              <w:rPr>
                <w:color w:val="000000"/>
              </w:rPr>
              <w:t xml:space="preserve">Select candidates for interviews and conduct interviews. </w:t>
            </w:r>
          </w:p>
        </w:tc>
        <w:tc>
          <w:tcPr>
            <w:tcW w:w="2668" w:type="dxa"/>
            <w:tcBorders>
              <w:top w:val="nil"/>
              <w:left w:val="nil"/>
              <w:bottom w:val="single" w:sz="8" w:space="0" w:color="A3A3A3"/>
              <w:right w:val="single" w:sz="8" w:space="0" w:color="A3A3A3"/>
            </w:tcBorders>
            <w:tcMar>
              <w:top w:w="80" w:type="dxa"/>
              <w:left w:w="80" w:type="dxa"/>
              <w:bottom w:w="80" w:type="dxa"/>
              <w:right w:w="80" w:type="dxa"/>
            </w:tcMar>
          </w:tcPr>
          <w:p w14:paraId="6A35BC47" w14:textId="56E3988F" w:rsidR="009B5310" w:rsidRPr="0066519F" w:rsidRDefault="00EA1AE3">
            <w:r w:rsidRPr="0066519F">
              <w:t>Academic &amp; Industrial supervisors</w:t>
            </w:r>
          </w:p>
        </w:tc>
      </w:tr>
      <w:tr w:rsidR="00686E0C" w:rsidRPr="0066519F" w14:paraId="32856F8B"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tcPr>
          <w:p w14:paraId="02BCAFCD" w14:textId="624BF8BF" w:rsidR="00686E0C" w:rsidRPr="0066519F" w:rsidRDefault="0020602D">
            <w:pPr>
              <w:rPr>
                <w:b/>
                <w:bCs/>
                <w:color w:val="000000"/>
              </w:rPr>
            </w:pPr>
            <w:r w:rsidRPr="0066519F">
              <w:rPr>
                <w:rFonts w:eastAsia="Times New Roman"/>
                <w:b/>
                <w:bCs/>
              </w:rPr>
              <w:t xml:space="preserve">December </w:t>
            </w:r>
            <w:r w:rsidR="005225C7" w:rsidRPr="0066519F">
              <w:rPr>
                <w:rFonts w:eastAsia="Times New Roman"/>
                <w:b/>
                <w:bCs/>
              </w:rPr>
              <w:t>16</w:t>
            </w:r>
            <w:r w:rsidR="00C84A9A" w:rsidRPr="0066519F">
              <w:rPr>
                <w:rFonts w:eastAsia="Times New Roman"/>
                <w:b/>
                <w:bCs/>
                <w:vertAlign w:val="superscript"/>
              </w:rPr>
              <w:t>th</w:t>
            </w:r>
            <w:r w:rsidR="00C84A9A" w:rsidRPr="0066519F">
              <w:rPr>
                <w:rFonts w:eastAsia="Times New Roman"/>
                <w:b/>
                <w:bCs/>
              </w:rPr>
              <w:t xml:space="preserve"> </w:t>
            </w:r>
            <w:r w:rsidRPr="0066519F">
              <w:rPr>
                <w:b/>
                <w:bCs/>
              </w:rPr>
              <w:t>202</w:t>
            </w:r>
            <w:r w:rsidR="004754C9" w:rsidRPr="0066519F">
              <w:rPr>
                <w:b/>
                <w:bCs/>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tcPr>
          <w:p w14:paraId="1BB0F98E" w14:textId="522658DD" w:rsidR="00686E0C" w:rsidRPr="0066519F" w:rsidRDefault="009B5310">
            <w:pPr>
              <w:rPr>
                <w:color w:val="000000"/>
              </w:rPr>
            </w:pPr>
            <w:r w:rsidRPr="0066519F">
              <w:rPr>
                <w:color w:val="000000"/>
              </w:rPr>
              <w:t xml:space="preserve">Please send by December </w:t>
            </w:r>
            <w:r w:rsidR="005225C7" w:rsidRPr="0066519F">
              <w:rPr>
                <w:color w:val="000000"/>
              </w:rPr>
              <w:t>16</w:t>
            </w:r>
            <w:r w:rsidR="00C84A9A" w:rsidRPr="0066519F">
              <w:rPr>
                <w:color w:val="000000"/>
                <w:vertAlign w:val="superscript"/>
              </w:rPr>
              <w:t>th</w:t>
            </w:r>
            <w:r w:rsidRPr="0066519F">
              <w:rPr>
                <w:color w:val="000000"/>
              </w:rPr>
              <w:t xml:space="preserve"> your selection of who you have short-listed to interview (this will allow EDI team to cross-reference with relevant EDI data).</w:t>
            </w:r>
          </w:p>
        </w:tc>
        <w:tc>
          <w:tcPr>
            <w:tcW w:w="2668" w:type="dxa"/>
            <w:tcBorders>
              <w:top w:val="nil"/>
              <w:left w:val="nil"/>
              <w:bottom w:val="single" w:sz="8" w:space="0" w:color="A3A3A3"/>
              <w:right w:val="single" w:sz="8" w:space="0" w:color="A3A3A3"/>
            </w:tcBorders>
            <w:tcMar>
              <w:top w:w="80" w:type="dxa"/>
              <w:left w:w="80" w:type="dxa"/>
              <w:bottom w:w="80" w:type="dxa"/>
              <w:right w:w="80" w:type="dxa"/>
            </w:tcMar>
          </w:tcPr>
          <w:p w14:paraId="6F628B43" w14:textId="0DB82F2C" w:rsidR="00686E0C" w:rsidRPr="0066519F" w:rsidRDefault="009B5310">
            <w:r w:rsidRPr="0066519F">
              <w:t>Academic &amp; Industrial supervisors</w:t>
            </w:r>
          </w:p>
        </w:tc>
      </w:tr>
      <w:tr w:rsidR="008F639A" w14:paraId="29AEA825" w14:textId="77777777" w:rsidTr="008F639A">
        <w:tc>
          <w:tcPr>
            <w:tcW w:w="253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14:paraId="60DAF442" w14:textId="71AE3821" w:rsidR="008F639A" w:rsidRPr="0066519F" w:rsidRDefault="008F639A">
            <w:pPr>
              <w:rPr>
                <w:color w:val="000000"/>
              </w:rPr>
            </w:pPr>
            <w:r w:rsidRPr="0066519F">
              <w:rPr>
                <w:b/>
                <w:bCs/>
                <w:color w:val="000000"/>
              </w:rPr>
              <w:t>December 1</w:t>
            </w:r>
            <w:r w:rsidR="004754C9" w:rsidRPr="0066519F">
              <w:rPr>
                <w:b/>
                <w:bCs/>
                <w:color w:val="000000"/>
              </w:rPr>
              <w:t>8</w:t>
            </w:r>
            <w:r w:rsidRPr="0066519F">
              <w:rPr>
                <w:b/>
                <w:bCs/>
                <w:color w:val="000000"/>
                <w:vertAlign w:val="superscript"/>
              </w:rPr>
              <w:t>th</w:t>
            </w:r>
            <w:r w:rsidRPr="0066519F">
              <w:rPr>
                <w:b/>
                <w:bCs/>
                <w:color w:val="000000"/>
              </w:rPr>
              <w:t xml:space="preserve"> 202</w:t>
            </w:r>
            <w:r w:rsidR="004754C9" w:rsidRPr="0066519F">
              <w:rPr>
                <w:b/>
                <w:bCs/>
                <w:color w:val="000000"/>
              </w:rPr>
              <w:t>6</w:t>
            </w:r>
          </w:p>
        </w:tc>
        <w:tc>
          <w:tcPr>
            <w:tcW w:w="3678" w:type="dxa"/>
            <w:tcBorders>
              <w:top w:val="nil"/>
              <w:left w:val="nil"/>
              <w:bottom w:val="single" w:sz="8" w:space="0" w:color="A3A3A3"/>
              <w:right w:val="single" w:sz="8" w:space="0" w:color="A3A3A3"/>
            </w:tcBorders>
            <w:tcMar>
              <w:top w:w="80" w:type="dxa"/>
              <w:left w:w="80" w:type="dxa"/>
              <w:bottom w:w="80" w:type="dxa"/>
              <w:right w:w="80" w:type="dxa"/>
            </w:tcMar>
            <w:hideMark/>
          </w:tcPr>
          <w:p w14:paraId="4AD95FA4" w14:textId="77777777" w:rsidR="008F639A" w:rsidRPr="0066519F" w:rsidRDefault="008F639A">
            <w:pPr>
              <w:rPr>
                <w:color w:val="000000"/>
              </w:rPr>
            </w:pPr>
            <w:r w:rsidRPr="0066519F">
              <w:rPr>
                <w:color w:val="000000"/>
              </w:rPr>
              <w:t>Final selection of students to be offered</w:t>
            </w:r>
          </w:p>
        </w:tc>
        <w:tc>
          <w:tcPr>
            <w:tcW w:w="2668" w:type="dxa"/>
            <w:tcBorders>
              <w:top w:val="nil"/>
              <w:left w:val="nil"/>
              <w:bottom w:val="single" w:sz="8" w:space="0" w:color="A3A3A3"/>
              <w:right w:val="single" w:sz="8" w:space="0" w:color="A3A3A3"/>
            </w:tcBorders>
            <w:tcMar>
              <w:top w:w="80" w:type="dxa"/>
              <w:left w:w="80" w:type="dxa"/>
              <w:bottom w:w="80" w:type="dxa"/>
              <w:right w:w="80" w:type="dxa"/>
            </w:tcMar>
            <w:hideMark/>
          </w:tcPr>
          <w:p w14:paraId="1037045A" w14:textId="77777777" w:rsidR="008F639A" w:rsidRDefault="008F639A">
            <w:pPr>
              <w:rPr>
                <w:color w:val="000000"/>
              </w:rPr>
            </w:pPr>
            <w:r w:rsidRPr="0066519F">
              <w:rPr>
                <w:color w:val="000000"/>
              </w:rPr>
              <w:t>Management Board</w:t>
            </w:r>
          </w:p>
        </w:tc>
      </w:tr>
    </w:tbl>
    <w:p w14:paraId="2C2B7E3C" w14:textId="1B969000" w:rsidR="00A72036" w:rsidRDefault="00A72036" w:rsidP="008C2D20">
      <w:pPr>
        <w:jc w:val="both"/>
      </w:pPr>
    </w:p>
    <w:sectPr w:rsidR="00A7203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0519D" w14:textId="77777777" w:rsidR="0005471A" w:rsidRDefault="0005471A" w:rsidP="00DA60CC">
      <w:pPr>
        <w:spacing w:after="0" w:line="240" w:lineRule="auto"/>
      </w:pPr>
      <w:r>
        <w:separator/>
      </w:r>
    </w:p>
  </w:endnote>
  <w:endnote w:type="continuationSeparator" w:id="0">
    <w:p w14:paraId="0CD1AC4A" w14:textId="77777777" w:rsidR="0005471A" w:rsidRDefault="0005471A" w:rsidP="00DA60CC">
      <w:pPr>
        <w:spacing w:after="0" w:line="240" w:lineRule="auto"/>
      </w:pPr>
      <w:r>
        <w:continuationSeparator/>
      </w:r>
    </w:p>
  </w:endnote>
  <w:endnote w:type="continuationNotice" w:id="1">
    <w:p w14:paraId="2BAA6558" w14:textId="77777777" w:rsidR="0005471A" w:rsidRDefault="00054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16C9B" w14:textId="77777777" w:rsidR="00205DCD" w:rsidRDefault="00205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702F" w14:textId="77777777" w:rsidR="00205DCD" w:rsidRDefault="00205D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EF53" w14:textId="77777777" w:rsidR="00205DCD" w:rsidRDefault="00205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F783" w14:textId="77777777" w:rsidR="0005471A" w:rsidRDefault="0005471A" w:rsidP="00DA60CC">
      <w:pPr>
        <w:spacing w:after="0" w:line="240" w:lineRule="auto"/>
      </w:pPr>
      <w:r>
        <w:separator/>
      </w:r>
    </w:p>
  </w:footnote>
  <w:footnote w:type="continuationSeparator" w:id="0">
    <w:p w14:paraId="160760FB" w14:textId="77777777" w:rsidR="0005471A" w:rsidRDefault="0005471A" w:rsidP="00DA60CC">
      <w:pPr>
        <w:spacing w:after="0" w:line="240" w:lineRule="auto"/>
      </w:pPr>
      <w:r>
        <w:continuationSeparator/>
      </w:r>
    </w:p>
  </w:footnote>
  <w:footnote w:type="continuationNotice" w:id="1">
    <w:p w14:paraId="50C9C2A5" w14:textId="77777777" w:rsidR="0005471A" w:rsidRDefault="000547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E26A" w14:textId="0415E8AD" w:rsidR="00CA585D" w:rsidRDefault="00CA585D">
    <w:pPr>
      <w:pStyle w:val="Header"/>
    </w:pPr>
    <w:r>
      <w:rPr>
        <w:noProof/>
      </w:rPr>
      <mc:AlternateContent>
        <mc:Choice Requires="wps">
          <w:drawing>
            <wp:anchor distT="0" distB="0" distL="0" distR="0" simplePos="0" relativeHeight="251658241" behindDoc="0" locked="0" layoutInCell="1" allowOverlap="1" wp14:anchorId="578BDBBC" wp14:editId="1F21F4DA">
              <wp:simplePos x="635" y="635"/>
              <wp:positionH relativeFrom="page">
                <wp:align>right</wp:align>
              </wp:positionH>
              <wp:positionV relativeFrom="page">
                <wp:align>top</wp:align>
              </wp:positionV>
              <wp:extent cx="443865" cy="443865"/>
              <wp:effectExtent l="0" t="0" r="0" b="4445"/>
              <wp:wrapNone/>
              <wp:docPr id="764907295" name="Text Box 2"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BDFB29" w14:textId="06590979"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78BDBBC" id="_x0000_t202" coordsize="21600,21600" o:spt="202" path="m,l,21600r21600,l21600,xe">
              <v:stroke joinstyle="miter"/>
              <v:path gradientshapeok="t" o:connecttype="rect"/>
            </v:shapetype>
            <v:shape id="Text Box 2" o:spid="_x0000_s1026" type="#_x0000_t202" alt="Business Use"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0FBDFB29" w14:textId="06590979"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6A9A" w14:textId="4570B182" w:rsidR="00CA585D" w:rsidRDefault="00CA585D">
    <w:pPr>
      <w:pStyle w:val="Header"/>
    </w:pPr>
    <w:r>
      <w:rPr>
        <w:noProof/>
      </w:rPr>
      <mc:AlternateContent>
        <mc:Choice Requires="wps">
          <w:drawing>
            <wp:anchor distT="0" distB="0" distL="0" distR="0" simplePos="0" relativeHeight="251658242" behindDoc="0" locked="0" layoutInCell="1" allowOverlap="1" wp14:anchorId="0F56B374" wp14:editId="4AA2903C">
              <wp:simplePos x="914400" y="450850"/>
              <wp:positionH relativeFrom="page">
                <wp:align>right</wp:align>
              </wp:positionH>
              <wp:positionV relativeFrom="page">
                <wp:align>top</wp:align>
              </wp:positionV>
              <wp:extent cx="443865" cy="443865"/>
              <wp:effectExtent l="0" t="0" r="0" b="4445"/>
              <wp:wrapNone/>
              <wp:docPr id="1630423922" name="Text Box 3"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A75CFA" w14:textId="65A6A32F"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F56B374" id="_x0000_t202" coordsize="21600,21600" o:spt="202" path="m,l,21600r21600,l21600,xe">
              <v:stroke joinstyle="miter"/>
              <v:path gradientshapeok="t" o:connecttype="rect"/>
            </v:shapetype>
            <v:shape id="Text Box 3" o:spid="_x0000_s1027" type="#_x0000_t202" alt="Business Use"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EA75CFA" w14:textId="65A6A32F"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EB1C" w14:textId="148170D3" w:rsidR="00CA585D" w:rsidRDefault="00CA585D">
    <w:pPr>
      <w:pStyle w:val="Header"/>
    </w:pPr>
    <w:r>
      <w:rPr>
        <w:noProof/>
      </w:rPr>
      <mc:AlternateContent>
        <mc:Choice Requires="wps">
          <w:drawing>
            <wp:anchor distT="0" distB="0" distL="0" distR="0" simplePos="0" relativeHeight="251658240" behindDoc="0" locked="0" layoutInCell="1" allowOverlap="1" wp14:anchorId="44D21B14" wp14:editId="472E446B">
              <wp:simplePos x="635" y="635"/>
              <wp:positionH relativeFrom="page">
                <wp:align>right</wp:align>
              </wp:positionH>
              <wp:positionV relativeFrom="page">
                <wp:align>top</wp:align>
              </wp:positionV>
              <wp:extent cx="443865" cy="443865"/>
              <wp:effectExtent l="0" t="0" r="0" b="4445"/>
              <wp:wrapNone/>
              <wp:docPr id="1662646024" name="Text Box 1" descr="Business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6861C4" w14:textId="5A7B7883"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4D21B14" id="_x0000_t202" coordsize="21600,21600" o:spt="202" path="m,l,21600r21600,l21600,xe">
              <v:stroke joinstyle="miter"/>
              <v:path gradientshapeok="t" o:connecttype="rect"/>
            </v:shapetype>
            <v:shape id="Text Box 1" o:spid="_x0000_s1028" type="#_x0000_t202" alt="Business Use"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576861C4" w14:textId="5A7B7883" w:rsidR="00CA585D" w:rsidRPr="00CA585D" w:rsidRDefault="00CA585D" w:rsidP="00CA585D">
                    <w:pPr>
                      <w:spacing w:after="0"/>
                      <w:rPr>
                        <w:rFonts w:ascii="Calibri" w:eastAsia="Calibri" w:hAnsi="Calibri" w:cs="Calibri"/>
                        <w:noProof/>
                        <w:color w:val="000000"/>
                        <w:sz w:val="20"/>
                        <w:szCs w:val="20"/>
                      </w:rPr>
                    </w:pPr>
                    <w:r w:rsidRPr="00CA585D">
                      <w:rPr>
                        <w:rFonts w:ascii="Calibri" w:eastAsia="Calibri" w:hAnsi="Calibri" w:cs="Calibri"/>
                        <w:noProof/>
                        <w:color w:val="000000"/>
                        <w:sz w:val="20"/>
                        <w:szCs w:val="20"/>
                      </w:rPr>
                      <w:t>Business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164A2"/>
    <w:multiLevelType w:val="hybridMultilevel"/>
    <w:tmpl w:val="F0D2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A71B9"/>
    <w:multiLevelType w:val="hybridMultilevel"/>
    <w:tmpl w:val="2162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83FA7"/>
    <w:multiLevelType w:val="hybridMultilevel"/>
    <w:tmpl w:val="03CAB928"/>
    <w:lvl w:ilvl="0" w:tplc="4FBAE092">
      <w:start w:val="3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73796E"/>
    <w:multiLevelType w:val="hybridMultilevel"/>
    <w:tmpl w:val="29529360"/>
    <w:lvl w:ilvl="0" w:tplc="317606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9E299F"/>
    <w:multiLevelType w:val="hybridMultilevel"/>
    <w:tmpl w:val="E8325078"/>
    <w:lvl w:ilvl="0" w:tplc="317606CC">
      <w:numFmt w:val="bullet"/>
      <w:lvlText w:val="•"/>
      <w:lvlJc w:val="left"/>
      <w:pPr>
        <w:ind w:left="768" w:hanging="360"/>
      </w:pPr>
      <w:rPr>
        <w:rFonts w:ascii="Calibri" w:eastAsiaTheme="minorHAnsi" w:hAnsi="Calibri" w:cs="Calibri"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4D447C50"/>
    <w:multiLevelType w:val="hybridMultilevel"/>
    <w:tmpl w:val="D864FA1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360" w:hanging="360"/>
      </w:pPr>
      <w:rPr>
        <w:rFonts w:ascii="Courier New" w:hAnsi="Courier New" w:cs="Times New Roman" w:hint="default"/>
      </w:rPr>
    </w:lvl>
    <w:lvl w:ilvl="2" w:tplc="08090005">
      <w:start w:val="1"/>
      <w:numFmt w:val="bullet"/>
      <w:lvlText w:val=""/>
      <w:lvlJc w:val="left"/>
      <w:pPr>
        <w:ind w:left="360" w:hanging="360"/>
      </w:pPr>
      <w:rPr>
        <w:rFonts w:ascii="Wingdings" w:hAnsi="Wingdings" w:hint="default"/>
      </w:rPr>
    </w:lvl>
    <w:lvl w:ilvl="3" w:tplc="08090001">
      <w:start w:val="1"/>
      <w:numFmt w:val="bullet"/>
      <w:lvlText w:val=""/>
      <w:lvlJc w:val="left"/>
      <w:pPr>
        <w:ind w:left="1080" w:hanging="360"/>
      </w:pPr>
      <w:rPr>
        <w:rFonts w:ascii="Symbol" w:hAnsi="Symbol" w:hint="default"/>
      </w:rPr>
    </w:lvl>
    <w:lvl w:ilvl="4" w:tplc="08090003">
      <w:start w:val="1"/>
      <w:numFmt w:val="bullet"/>
      <w:lvlText w:val="o"/>
      <w:lvlJc w:val="left"/>
      <w:pPr>
        <w:ind w:left="1800" w:hanging="360"/>
      </w:pPr>
      <w:rPr>
        <w:rFonts w:ascii="Courier New" w:hAnsi="Courier New" w:cs="Times New Roman" w:hint="default"/>
      </w:rPr>
    </w:lvl>
    <w:lvl w:ilvl="5" w:tplc="08090005">
      <w:start w:val="1"/>
      <w:numFmt w:val="bullet"/>
      <w:lvlText w:val=""/>
      <w:lvlJc w:val="left"/>
      <w:pPr>
        <w:ind w:left="2520" w:hanging="360"/>
      </w:pPr>
      <w:rPr>
        <w:rFonts w:ascii="Wingdings" w:hAnsi="Wingdings" w:hint="default"/>
      </w:rPr>
    </w:lvl>
    <w:lvl w:ilvl="6" w:tplc="08090001">
      <w:start w:val="1"/>
      <w:numFmt w:val="bullet"/>
      <w:lvlText w:val=""/>
      <w:lvlJc w:val="left"/>
      <w:pPr>
        <w:ind w:left="3240" w:hanging="360"/>
      </w:pPr>
      <w:rPr>
        <w:rFonts w:ascii="Symbol" w:hAnsi="Symbol" w:hint="default"/>
      </w:rPr>
    </w:lvl>
    <w:lvl w:ilvl="7" w:tplc="08090003">
      <w:start w:val="1"/>
      <w:numFmt w:val="bullet"/>
      <w:lvlText w:val="o"/>
      <w:lvlJc w:val="left"/>
      <w:pPr>
        <w:ind w:left="3960" w:hanging="360"/>
      </w:pPr>
      <w:rPr>
        <w:rFonts w:ascii="Courier New" w:hAnsi="Courier New" w:cs="Times New Roman" w:hint="default"/>
      </w:rPr>
    </w:lvl>
    <w:lvl w:ilvl="8" w:tplc="08090005">
      <w:start w:val="1"/>
      <w:numFmt w:val="bullet"/>
      <w:lvlText w:val=""/>
      <w:lvlJc w:val="left"/>
      <w:pPr>
        <w:ind w:left="4680" w:hanging="360"/>
      </w:pPr>
      <w:rPr>
        <w:rFonts w:ascii="Wingdings" w:hAnsi="Wingdings" w:hint="default"/>
      </w:rPr>
    </w:lvl>
  </w:abstractNum>
  <w:num w:numId="1" w16cid:durableId="1901793345">
    <w:abstractNumId w:val="1"/>
  </w:num>
  <w:num w:numId="2" w16cid:durableId="993221866">
    <w:abstractNumId w:val="3"/>
  </w:num>
  <w:num w:numId="3" w16cid:durableId="1106922291">
    <w:abstractNumId w:val="4"/>
  </w:num>
  <w:num w:numId="4" w16cid:durableId="1238124822">
    <w:abstractNumId w:val="2"/>
  </w:num>
  <w:num w:numId="5" w16cid:durableId="1888027350">
    <w:abstractNumId w:val="0"/>
  </w:num>
  <w:num w:numId="6" w16cid:durableId="1682734962">
    <w:abstractNumId w:val="5"/>
  </w:num>
  <w:num w:numId="7" w16cid:durableId="1799031184">
    <w:abstractNumId w:val="3"/>
  </w:num>
  <w:num w:numId="8" w16cid:durableId="1282608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95"/>
    <w:rsid w:val="0004571B"/>
    <w:rsid w:val="0005471A"/>
    <w:rsid w:val="00055309"/>
    <w:rsid w:val="00066195"/>
    <w:rsid w:val="00073158"/>
    <w:rsid w:val="00073720"/>
    <w:rsid w:val="000751B1"/>
    <w:rsid w:val="000757D6"/>
    <w:rsid w:val="00080850"/>
    <w:rsid w:val="00085618"/>
    <w:rsid w:val="000902ED"/>
    <w:rsid w:val="00094A6C"/>
    <w:rsid w:val="000A0512"/>
    <w:rsid w:val="000A34AD"/>
    <w:rsid w:val="000A6E52"/>
    <w:rsid w:val="000D688B"/>
    <w:rsid w:val="000E6B60"/>
    <w:rsid w:val="000E78B3"/>
    <w:rsid w:val="000F34AC"/>
    <w:rsid w:val="000F7E56"/>
    <w:rsid w:val="001000A3"/>
    <w:rsid w:val="001015BE"/>
    <w:rsid w:val="00103CDD"/>
    <w:rsid w:val="00110CFD"/>
    <w:rsid w:val="001173B5"/>
    <w:rsid w:val="0012028D"/>
    <w:rsid w:val="00125F40"/>
    <w:rsid w:val="00135EF8"/>
    <w:rsid w:val="00147453"/>
    <w:rsid w:val="00152124"/>
    <w:rsid w:val="001812F5"/>
    <w:rsid w:val="00187A83"/>
    <w:rsid w:val="0019576C"/>
    <w:rsid w:val="001A4A1B"/>
    <w:rsid w:val="001B13AF"/>
    <w:rsid w:val="001B1500"/>
    <w:rsid w:val="001B341B"/>
    <w:rsid w:val="001C287B"/>
    <w:rsid w:val="001C7A9E"/>
    <w:rsid w:val="001D6CF1"/>
    <w:rsid w:val="001E192A"/>
    <w:rsid w:val="001E1E5F"/>
    <w:rsid w:val="001E33E0"/>
    <w:rsid w:val="00202F22"/>
    <w:rsid w:val="00205DCD"/>
    <w:rsid w:val="0020602D"/>
    <w:rsid w:val="00232A09"/>
    <w:rsid w:val="0023334B"/>
    <w:rsid w:val="002337E0"/>
    <w:rsid w:val="00241E7D"/>
    <w:rsid w:val="0024348A"/>
    <w:rsid w:val="0026145F"/>
    <w:rsid w:val="00272E8E"/>
    <w:rsid w:val="00275F6C"/>
    <w:rsid w:val="002765FC"/>
    <w:rsid w:val="00282B75"/>
    <w:rsid w:val="00285A93"/>
    <w:rsid w:val="00285AC9"/>
    <w:rsid w:val="002A0144"/>
    <w:rsid w:val="002A33E3"/>
    <w:rsid w:val="002A6B02"/>
    <w:rsid w:val="002B2FD7"/>
    <w:rsid w:val="002C495D"/>
    <w:rsid w:val="002C7019"/>
    <w:rsid w:val="002E0FDD"/>
    <w:rsid w:val="002E2945"/>
    <w:rsid w:val="0030341C"/>
    <w:rsid w:val="003054AE"/>
    <w:rsid w:val="0033677A"/>
    <w:rsid w:val="003375C1"/>
    <w:rsid w:val="0034164C"/>
    <w:rsid w:val="00341B8D"/>
    <w:rsid w:val="00353C2A"/>
    <w:rsid w:val="00353E9D"/>
    <w:rsid w:val="00384DFE"/>
    <w:rsid w:val="00386DE4"/>
    <w:rsid w:val="00390627"/>
    <w:rsid w:val="00394D6D"/>
    <w:rsid w:val="003A20F3"/>
    <w:rsid w:val="003A7A93"/>
    <w:rsid w:val="003B2D62"/>
    <w:rsid w:val="003B52D5"/>
    <w:rsid w:val="003B5CEE"/>
    <w:rsid w:val="003C5E11"/>
    <w:rsid w:val="003C6D2C"/>
    <w:rsid w:val="003D59C7"/>
    <w:rsid w:val="003E0F38"/>
    <w:rsid w:val="003F1C2E"/>
    <w:rsid w:val="003F2AA5"/>
    <w:rsid w:val="00420130"/>
    <w:rsid w:val="004255C9"/>
    <w:rsid w:val="00431367"/>
    <w:rsid w:val="004340E4"/>
    <w:rsid w:val="004432E0"/>
    <w:rsid w:val="00446F9A"/>
    <w:rsid w:val="004521BF"/>
    <w:rsid w:val="00453ABE"/>
    <w:rsid w:val="00460931"/>
    <w:rsid w:val="00461C63"/>
    <w:rsid w:val="00465866"/>
    <w:rsid w:val="00467F82"/>
    <w:rsid w:val="00472B14"/>
    <w:rsid w:val="004754C9"/>
    <w:rsid w:val="00480612"/>
    <w:rsid w:val="00485E7C"/>
    <w:rsid w:val="00490069"/>
    <w:rsid w:val="004901B3"/>
    <w:rsid w:val="00490298"/>
    <w:rsid w:val="004933C6"/>
    <w:rsid w:val="004A1403"/>
    <w:rsid w:val="004A1A3C"/>
    <w:rsid w:val="004B15DC"/>
    <w:rsid w:val="004B3237"/>
    <w:rsid w:val="004B3DA0"/>
    <w:rsid w:val="004B6202"/>
    <w:rsid w:val="004C0803"/>
    <w:rsid w:val="004C0D7A"/>
    <w:rsid w:val="004D18E2"/>
    <w:rsid w:val="004D1B76"/>
    <w:rsid w:val="004E5994"/>
    <w:rsid w:val="004E5EF9"/>
    <w:rsid w:val="004F1687"/>
    <w:rsid w:val="0050481E"/>
    <w:rsid w:val="0050518C"/>
    <w:rsid w:val="005155F7"/>
    <w:rsid w:val="005225C7"/>
    <w:rsid w:val="00524A6F"/>
    <w:rsid w:val="00531571"/>
    <w:rsid w:val="00540074"/>
    <w:rsid w:val="005420E5"/>
    <w:rsid w:val="005423C7"/>
    <w:rsid w:val="00563C8C"/>
    <w:rsid w:val="00571F57"/>
    <w:rsid w:val="00580AAA"/>
    <w:rsid w:val="00582F9D"/>
    <w:rsid w:val="005A0A6A"/>
    <w:rsid w:val="005B0714"/>
    <w:rsid w:val="005C2E48"/>
    <w:rsid w:val="005C7D70"/>
    <w:rsid w:val="005D089F"/>
    <w:rsid w:val="005E68FA"/>
    <w:rsid w:val="005E7016"/>
    <w:rsid w:val="00605B41"/>
    <w:rsid w:val="00605F95"/>
    <w:rsid w:val="00611CE6"/>
    <w:rsid w:val="00611F26"/>
    <w:rsid w:val="0061647C"/>
    <w:rsid w:val="00622DAA"/>
    <w:rsid w:val="00642804"/>
    <w:rsid w:val="00643968"/>
    <w:rsid w:val="0066519F"/>
    <w:rsid w:val="0067005D"/>
    <w:rsid w:val="00681BFC"/>
    <w:rsid w:val="00686415"/>
    <w:rsid w:val="00686E0C"/>
    <w:rsid w:val="006A5AFD"/>
    <w:rsid w:val="006A6288"/>
    <w:rsid w:val="006C26E0"/>
    <w:rsid w:val="006D61E7"/>
    <w:rsid w:val="006D7CC5"/>
    <w:rsid w:val="007077F6"/>
    <w:rsid w:val="00721967"/>
    <w:rsid w:val="007278D2"/>
    <w:rsid w:val="0074446F"/>
    <w:rsid w:val="00753F85"/>
    <w:rsid w:val="00760BD9"/>
    <w:rsid w:val="0076691D"/>
    <w:rsid w:val="00777203"/>
    <w:rsid w:val="00785D87"/>
    <w:rsid w:val="00790647"/>
    <w:rsid w:val="007A129C"/>
    <w:rsid w:val="007A26EB"/>
    <w:rsid w:val="007B17BB"/>
    <w:rsid w:val="007B4B58"/>
    <w:rsid w:val="007D3BA2"/>
    <w:rsid w:val="007D60BB"/>
    <w:rsid w:val="007D76E7"/>
    <w:rsid w:val="00805EA4"/>
    <w:rsid w:val="0081306C"/>
    <w:rsid w:val="00814D80"/>
    <w:rsid w:val="0081662F"/>
    <w:rsid w:val="008257B5"/>
    <w:rsid w:val="0083235C"/>
    <w:rsid w:val="00836CDC"/>
    <w:rsid w:val="008407A6"/>
    <w:rsid w:val="00842E0D"/>
    <w:rsid w:val="00846D93"/>
    <w:rsid w:val="00852F55"/>
    <w:rsid w:val="00862015"/>
    <w:rsid w:val="00866706"/>
    <w:rsid w:val="00876862"/>
    <w:rsid w:val="008827D1"/>
    <w:rsid w:val="00886B37"/>
    <w:rsid w:val="00886D4D"/>
    <w:rsid w:val="00892AAC"/>
    <w:rsid w:val="00894D1F"/>
    <w:rsid w:val="008970E8"/>
    <w:rsid w:val="008A0D9B"/>
    <w:rsid w:val="008A24F2"/>
    <w:rsid w:val="008A305D"/>
    <w:rsid w:val="008A327B"/>
    <w:rsid w:val="008B2AF5"/>
    <w:rsid w:val="008B65B8"/>
    <w:rsid w:val="008C2D20"/>
    <w:rsid w:val="008C76D8"/>
    <w:rsid w:val="008D094E"/>
    <w:rsid w:val="008D2406"/>
    <w:rsid w:val="008D38EB"/>
    <w:rsid w:val="008E4872"/>
    <w:rsid w:val="008F5E45"/>
    <w:rsid w:val="008F639A"/>
    <w:rsid w:val="00905763"/>
    <w:rsid w:val="0090642F"/>
    <w:rsid w:val="00914A8F"/>
    <w:rsid w:val="009273D6"/>
    <w:rsid w:val="0092793E"/>
    <w:rsid w:val="00935844"/>
    <w:rsid w:val="009377EE"/>
    <w:rsid w:val="00937D03"/>
    <w:rsid w:val="00942C63"/>
    <w:rsid w:val="00956253"/>
    <w:rsid w:val="00965247"/>
    <w:rsid w:val="0098343A"/>
    <w:rsid w:val="00994D99"/>
    <w:rsid w:val="009A72E6"/>
    <w:rsid w:val="009B176A"/>
    <w:rsid w:val="009B5310"/>
    <w:rsid w:val="009B7F53"/>
    <w:rsid w:val="009C0F42"/>
    <w:rsid w:val="009C12B6"/>
    <w:rsid w:val="009D5E4C"/>
    <w:rsid w:val="009D6495"/>
    <w:rsid w:val="009F0803"/>
    <w:rsid w:val="009F11C1"/>
    <w:rsid w:val="00A13EAA"/>
    <w:rsid w:val="00A14035"/>
    <w:rsid w:val="00A144D8"/>
    <w:rsid w:val="00A20D3B"/>
    <w:rsid w:val="00A249FB"/>
    <w:rsid w:val="00A253DE"/>
    <w:rsid w:val="00A34281"/>
    <w:rsid w:val="00A50466"/>
    <w:rsid w:val="00A50978"/>
    <w:rsid w:val="00A71565"/>
    <w:rsid w:val="00A72036"/>
    <w:rsid w:val="00A853CB"/>
    <w:rsid w:val="00AB1043"/>
    <w:rsid w:val="00AB117D"/>
    <w:rsid w:val="00AC1C8D"/>
    <w:rsid w:val="00AC3B63"/>
    <w:rsid w:val="00AE08CC"/>
    <w:rsid w:val="00AE3E27"/>
    <w:rsid w:val="00AE444C"/>
    <w:rsid w:val="00AE6532"/>
    <w:rsid w:val="00AF6BFD"/>
    <w:rsid w:val="00AF6F3F"/>
    <w:rsid w:val="00B03176"/>
    <w:rsid w:val="00B03CA5"/>
    <w:rsid w:val="00B13454"/>
    <w:rsid w:val="00B1788B"/>
    <w:rsid w:val="00B37F60"/>
    <w:rsid w:val="00B45921"/>
    <w:rsid w:val="00B55AA4"/>
    <w:rsid w:val="00B72827"/>
    <w:rsid w:val="00B74E1C"/>
    <w:rsid w:val="00B84554"/>
    <w:rsid w:val="00B948A2"/>
    <w:rsid w:val="00BB6B65"/>
    <w:rsid w:val="00BC270F"/>
    <w:rsid w:val="00BC5F60"/>
    <w:rsid w:val="00BC6AD2"/>
    <w:rsid w:val="00BD0760"/>
    <w:rsid w:val="00BD6C35"/>
    <w:rsid w:val="00BD6D6A"/>
    <w:rsid w:val="00BE7D5F"/>
    <w:rsid w:val="00C05288"/>
    <w:rsid w:val="00C20C8E"/>
    <w:rsid w:val="00C27D6B"/>
    <w:rsid w:val="00C31AED"/>
    <w:rsid w:val="00C32994"/>
    <w:rsid w:val="00C35094"/>
    <w:rsid w:val="00C37C3C"/>
    <w:rsid w:val="00C419D5"/>
    <w:rsid w:val="00C50AD2"/>
    <w:rsid w:val="00C561E1"/>
    <w:rsid w:val="00C84A9A"/>
    <w:rsid w:val="00C87FD4"/>
    <w:rsid w:val="00C93AC7"/>
    <w:rsid w:val="00C973F2"/>
    <w:rsid w:val="00CA1850"/>
    <w:rsid w:val="00CA585D"/>
    <w:rsid w:val="00CC3BDF"/>
    <w:rsid w:val="00D360D0"/>
    <w:rsid w:val="00D413E7"/>
    <w:rsid w:val="00D47ABD"/>
    <w:rsid w:val="00D53BAD"/>
    <w:rsid w:val="00D564F9"/>
    <w:rsid w:val="00D5667F"/>
    <w:rsid w:val="00D57F77"/>
    <w:rsid w:val="00D65B67"/>
    <w:rsid w:val="00D66DA2"/>
    <w:rsid w:val="00D8020F"/>
    <w:rsid w:val="00D8070F"/>
    <w:rsid w:val="00D9053A"/>
    <w:rsid w:val="00D94484"/>
    <w:rsid w:val="00DA2018"/>
    <w:rsid w:val="00DA3F5C"/>
    <w:rsid w:val="00DA60CC"/>
    <w:rsid w:val="00DC447D"/>
    <w:rsid w:val="00DD0D23"/>
    <w:rsid w:val="00DF4D8A"/>
    <w:rsid w:val="00DF4ECD"/>
    <w:rsid w:val="00E005C5"/>
    <w:rsid w:val="00E04BCD"/>
    <w:rsid w:val="00E10450"/>
    <w:rsid w:val="00E10970"/>
    <w:rsid w:val="00E326DC"/>
    <w:rsid w:val="00E45C3C"/>
    <w:rsid w:val="00E475C9"/>
    <w:rsid w:val="00E47F9B"/>
    <w:rsid w:val="00E660A4"/>
    <w:rsid w:val="00E67867"/>
    <w:rsid w:val="00E74D38"/>
    <w:rsid w:val="00E7590C"/>
    <w:rsid w:val="00E84067"/>
    <w:rsid w:val="00E920F6"/>
    <w:rsid w:val="00EA1AE3"/>
    <w:rsid w:val="00EA52A5"/>
    <w:rsid w:val="00EA6DBB"/>
    <w:rsid w:val="00EA7205"/>
    <w:rsid w:val="00EC07FF"/>
    <w:rsid w:val="00EC0BD1"/>
    <w:rsid w:val="00EC5533"/>
    <w:rsid w:val="00ED4D7B"/>
    <w:rsid w:val="00ED51BB"/>
    <w:rsid w:val="00EE3A0A"/>
    <w:rsid w:val="00F01EDA"/>
    <w:rsid w:val="00F043F8"/>
    <w:rsid w:val="00F053BF"/>
    <w:rsid w:val="00F15B08"/>
    <w:rsid w:val="00F238D3"/>
    <w:rsid w:val="00F363CB"/>
    <w:rsid w:val="00F449F1"/>
    <w:rsid w:val="00F45319"/>
    <w:rsid w:val="00F527F5"/>
    <w:rsid w:val="00F831DD"/>
    <w:rsid w:val="00F90E5A"/>
    <w:rsid w:val="00F90FA4"/>
    <w:rsid w:val="00F949DA"/>
    <w:rsid w:val="00FA041F"/>
    <w:rsid w:val="00FA6AE0"/>
    <w:rsid w:val="00FA70FA"/>
    <w:rsid w:val="00FC2D5D"/>
    <w:rsid w:val="00FD0BD1"/>
    <w:rsid w:val="00FD1102"/>
    <w:rsid w:val="00FD3CAA"/>
    <w:rsid w:val="00FD7F64"/>
    <w:rsid w:val="00FE3884"/>
    <w:rsid w:val="00FE56EC"/>
    <w:rsid w:val="00FF4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293A1"/>
  <w15:chartTrackingRefBased/>
  <w15:docId w15:val="{48AA6B66-32FC-4A66-9CE7-91E65F6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D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05D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5D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5DC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5D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05D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05D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05D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5D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495"/>
    <w:pPr>
      <w:ind w:left="720"/>
      <w:contextualSpacing/>
    </w:pPr>
  </w:style>
  <w:style w:type="character" w:styleId="Hyperlink">
    <w:name w:val="Hyperlink"/>
    <w:basedOn w:val="DefaultParagraphFont"/>
    <w:uiPriority w:val="99"/>
    <w:unhideWhenUsed/>
    <w:rsid w:val="004933C6"/>
    <w:rPr>
      <w:color w:val="0563C1" w:themeColor="hyperlink"/>
      <w:u w:val="single"/>
    </w:rPr>
  </w:style>
  <w:style w:type="character" w:styleId="UnresolvedMention">
    <w:name w:val="Unresolved Mention"/>
    <w:basedOn w:val="DefaultParagraphFont"/>
    <w:uiPriority w:val="99"/>
    <w:semiHidden/>
    <w:unhideWhenUsed/>
    <w:rsid w:val="004933C6"/>
    <w:rPr>
      <w:color w:val="605E5C"/>
      <w:shd w:val="clear" w:color="auto" w:fill="E1DFDD"/>
    </w:rPr>
  </w:style>
  <w:style w:type="character" w:styleId="CommentReference">
    <w:name w:val="annotation reference"/>
    <w:basedOn w:val="DefaultParagraphFont"/>
    <w:uiPriority w:val="99"/>
    <w:semiHidden/>
    <w:unhideWhenUsed/>
    <w:rsid w:val="004933C6"/>
    <w:rPr>
      <w:sz w:val="16"/>
      <w:szCs w:val="16"/>
    </w:rPr>
  </w:style>
  <w:style w:type="paragraph" w:styleId="CommentText">
    <w:name w:val="annotation text"/>
    <w:basedOn w:val="Normal"/>
    <w:link w:val="CommentTextChar"/>
    <w:uiPriority w:val="99"/>
    <w:unhideWhenUsed/>
    <w:rsid w:val="004933C6"/>
    <w:pPr>
      <w:spacing w:line="240" w:lineRule="auto"/>
    </w:pPr>
    <w:rPr>
      <w:sz w:val="20"/>
      <w:szCs w:val="20"/>
    </w:rPr>
  </w:style>
  <w:style w:type="character" w:customStyle="1" w:styleId="CommentTextChar">
    <w:name w:val="Comment Text Char"/>
    <w:basedOn w:val="DefaultParagraphFont"/>
    <w:link w:val="CommentText"/>
    <w:uiPriority w:val="99"/>
    <w:rsid w:val="004933C6"/>
    <w:rPr>
      <w:sz w:val="20"/>
      <w:szCs w:val="20"/>
    </w:rPr>
  </w:style>
  <w:style w:type="paragraph" w:styleId="CommentSubject">
    <w:name w:val="annotation subject"/>
    <w:basedOn w:val="CommentText"/>
    <w:next w:val="CommentText"/>
    <w:link w:val="CommentSubjectChar"/>
    <w:uiPriority w:val="99"/>
    <w:semiHidden/>
    <w:unhideWhenUsed/>
    <w:rsid w:val="004933C6"/>
    <w:rPr>
      <w:b/>
      <w:bCs/>
    </w:rPr>
  </w:style>
  <w:style w:type="character" w:customStyle="1" w:styleId="CommentSubjectChar">
    <w:name w:val="Comment Subject Char"/>
    <w:basedOn w:val="CommentTextChar"/>
    <w:link w:val="CommentSubject"/>
    <w:uiPriority w:val="99"/>
    <w:semiHidden/>
    <w:rsid w:val="004933C6"/>
    <w:rPr>
      <w:b/>
      <w:bCs/>
      <w:sz w:val="20"/>
      <w:szCs w:val="20"/>
    </w:rPr>
  </w:style>
  <w:style w:type="table" w:styleId="TableGrid">
    <w:name w:val="Table Grid"/>
    <w:basedOn w:val="TableNormal"/>
    <w:uiPriority w:val="39"/>
    <w:rsid w:val="00A72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A7203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FD3C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CAA"/>
  </w:style>
  <w:style w:type="paragraph" w:styleId="Footer">
    <w:name w:val="footer"/>
    <w:basedOn w:val="Normal"/>
    <w:link w:val="FooterChar"/>
    <w:uiPriority w:val="99"/>
    <w:unhideWhenUsed/>
    <w:rsid w:val="00FD3C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CAA"/>
  </w:style>
  <w:style w:type="character" w:styleId="FollowedHyperlink">
    <w:name w:val="FollowedHyperlink"/>
    <w:basedOn w:val="DefaultParagraphFont"/>
    <w:uiPriority w:val="99"/>
    <w:semiHidden/>
    <w:unhideWhenUsed/>
    <w:rsid w:val="00C50AD2"/>
    <w:rPr>
      <w:color w:val="954F72" w:themeColor="followedHyperlink"/>
      <w:u w:val="single"/>
    </w:rPr>
  </w:style>
  <w:style w:type="character" w:styleId="BookTitle">
    <w:name w:val="Book Title"/>
    <w:basedOn w:val="DefaultParagraphFont"/>
    <w:uiPriority w:val="33"/>
    <w:qFormat/>
    <w:rsid w:val="00205DCD"/>
    <w:rPr>
      <w:b/>
      <w:bCs/>
      <w:i/>
      <w:iCs/>
      <w:spacing w:val="5"/>
    </w:rPr>
  </w:style>
  <w:style w:type="paragraph" w:styleId="Caption">
    <w:name w:val="caption"/>
    <w:basedOn w:val="Normal"/>
    <w:next w:val="Normal"/>
    <w:uiPriority w:val="35"/>
    <w:semiHidden/>
    <w:unhideWhenUsed/>
    <w:qFormat/>
    <w:rsid w:val="00205DCD"/>
    <w:pPr>
      <w:spacing w:after="200" w:line="240" w:lineRule="auto"/>
    </w:pPr>
    <w:rPr>
      <w:i/>
      <w:iCs/>
      <w:color w:val="44546A" w:themeColor="text2"/>
      <w:sz w:val="18"/>
      <w:szCs w:val="18"/>
    </w:rPr>
  </w:style>
  <w:style w:type="character" w:styleId="Emphasis">
    <w:name w:val="Emphasis"/>
    <w:basedOn w:val="DefaultParagraphFont"/>
    <w:uiPriority w:val="20"/>
    <w:qFormat/>
    <w:rsid w:val="00205DCD"/>
    <w:rPr>
      <w:i/>
      <w:iCs/>
    </w:rPr>
  </w:style>
  <w:style w:type="character" w:customStyle="1" w:styleId="Heading1Char">
    <w:name w:val="Heading 1 Char"/>
    <w:basedOn w:val="DefaultParagraphFont"/>
    <w:link w:val="Heading1"/>
    <w:uiPriority w:val="9"/>
    <w:rsid w:val="00205DC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05DC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05DC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05DC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05DC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05D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05D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05D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5DC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5DCD"/>
    <w:rPr>
      <w:i/>
      <w:iCs/>
      <w:color w:val="4472C4" w:themeColor="accent1"/>
    </w:rPr>
  </w:style>
  <w:style w:type="paragraph" w:styleId="IntenseQuote">
    <w:name w:val="Intense Quote"/>
    <w:basedOn w:val="Normal"/>
    <w:next w:val="Normal"/>
    <w:link w:val="IntenseQuoteChar"/>
    <w:uiPriority w:val="30"/>
    <w:qFormat/>
    <w:rsid w:val="00205DC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05DCD"/>
    <w:rPr>
      <w:i/>
      <w:iCs/>
      <w:color w:val="4472C4" w:themeColor="accent1"/>
    </w:rPr>
  </w:style>
  <w:style w:type="character" w:styleId="IntenseReference">
    <w:name w:val="Intense Reference"/>
    <w:basedOn w:val="DefaultParagraphFont"/>
    <w:uiPriority w:val="32"/>
    <w:qFormat/>
    <w:rsid w:val="00205DCD"/>
    <w:rPr>
      <w:b/>
      <w:bCs/>
      <w:smallCaps/>
      <w:color w:val="4472C4" w:themeColor="accent1"/>
      <w:spacing w:val="5"/>
    </w:rPr>
  </w:style>
  <w:style w:type="paragraph" w:styleId="NoSpacing">
    <w:name w:val="No Spacing"/>
    <w:uiPriority w:val="1"/>
    <w:qFormat/>
    <w:rsid w:val="00205DCD"/>
    <w:pPr>
      <w:spacing w:after="0" w:line="240" w:lineRule="auto"/>
    </w:pPr>
  </w:style>
  <w:style w:type="paragraph" w:styleId="Quote">
    <w:name w:val="Quote"/>
    <w:basedOn w:val="Normal"/>
    <w:next w:val="Normal"/>
    <w:link w:val="QuoteChar"/>
    <w:uiPriority w:val="29"/>
    <w:qFormat/>
    <w:rsid w:val="00205D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05DCD"/>
    <w:rPr>
      <w:i/>
      <w:iCs/>
      <w:color w:val="404040" w:themeColor="text1" w:themeTint="BF"/>
    </w:rPr>
  </w:style>
  <w:style w:type="character" w:styleId="Strong">
    <w:name w:val="Strong"/>
    <w:basedOn w:val="DefaultParagraphFont"/>
    <w:uiPriority w:val="22"/>
    <w:qFormat/>
    <w:rsid w:val="00205DCD"/>
    <w:rPr>
      <w:b/>
      <w:bCs/>
    </w:rPr>
  </w:style>
  <w:style w:type="paragraph" w:styleId="Subtitle">
    <w:name w:val="Subtitle"/>
    <w:basedOn w:val="Normal"/>
    <w:next w:val="Normal"/>
    <w:link w:val="SubtitleChar"/>
    <w:uiPriority w:val="11"/>
    <w:qFormat/>
    <w:rsid w:val="00205D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5DCD"/>
    <w:rPr>
      <w:rFonts w:eastAsiaTheme="minorEastAsia"/>
      <w:color w:val="5A5A5A" w:themeColor="text1" w:themeTint="A5"/>
      <w:spacing w:val="15"/>
    </w:rPr>
  </w:style>
  <w:style w:type="character" w:styleId="SubtleEmphasis">
    <w:name w:val="Subtle Emphasis"/>
    <w:basedOn w:val="DefaultParagraphFont"/>
    <w:uiPriority w:val="19"/>
    <w:qFormat/>
    <w:rsid w:val="00205DCD"/>
    <w:rPr>
      <w:i/>
      <w:iCs/>
      <w:color w:val="404040" w:themeColor="text1" w:themeTint="BF"/>
    </w:rPr>
  </w:style>
  <w:style w:type="character" w:styleId="SubtleReference">
    <w:name w:val="Subtle Reference"/>
    <w:basedOn w:val="DefaultParagraphFont"/>
    <w:uiPriority w:val="31"/>
    <w:qFormat/>
    <w:rsid w:val="00205DCD"/>
    <w:rPr>
      <w:smallCaps/>
      <w:color w:val="5A5A5A" w:themeColor="text1" w:themeTint="A5"/>
    </w:rPr>
  </w:style>
  <w:style w:type="paragraph" w:styleId="Title">
    <w:name w:val="Title"/>
    <w:basedOn w:val="Normal"/>
    <w:next w:val="Normal"/>
    <w:link w:val="TitleChar"/>
    <w:uiPriority w:val="10"/>
    <w:qFormat/>
    <w:rsid w:val="00205D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DC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5DCD"/>
    <w:pPr>
      <w:outlineLvl w:val="9"/>
    </w:pPr>
  </w:style>
  <w:style w:type="character" w:styleId="Mention">
    <w:name w:val="Mention"/>
    <w:basedOn w:val="DefaultParagraphFont"/>
    <w:uiPriority w:val="99"/>
    <w:unhideWhenUsed/>
    <w:rsid w:val="002765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82665">
      <w:bodyDiv w:val="1"/>
      <w:marLeft w:val="0"/>
      <w:marRight w:val="0"/>
      <w:marTop w:val="0"/>
      <w:marBottom w:val="0"/>
      <w:divBdr>
        <w:top w:val="none" w:sz="0" w:space="0" w:color="auto"/>
        <w:left w:val="none" w:sz="0" w:space="0" w:color="auto"/>
        <w:bottom w:val="none" w:sz="0" w:space="0" w:color="auto"/>
        <w:right w:val="none" w:sz="0" w:space="0" w:color="auto"/>
      </w:divBdr>
    </w:div>
    <w:div w:id="1000503162">
      <w:bodyDiv w:val="1"/>
      <w:marLeft w:val="0"/>
      <w:marRight w:val="0"/>
      <w:marTop w:val="0"/>
      <w:marBottom w:val="0"/>
      <w:divBdr>
        <w:top w:val="none" w:sz="0" w:space="0" w:color="auto"/>
        <w:left w:val="none" w:sz="0" w:space="0" w:color="auto"/>
        <w:bottom w:val="none" w:sz="0" w:space="0" w:color="auto"/>
        <w:right w:val="none" w:sz="0" w:space="0" w:color="auto"/>
      </w:divBdr>
    </w:div>
    <w:div w:id="1113860198">
      <w:bodyDiv w:val="1"/>
      <w:marLeft w:val="0"/>
      <w:marRight w:val="0"/>
      <w:marTop w:val="0"/>
      <w:marBottom w:val="0"/>
      <w:divBdr>
        <w:top w:val="none" w:sz="0" w:space="0" w:color="auto"/>
        <w:left w:val="none" w:sz="0" w:space="0" w:color="auto"/>
        <w:bottom w:val="none" w:sz="0" w:space="0" w:color="auto"/>
        <w:right w:val="none" w:sz="0" w:space="0" w:color="auto"/>
      </w:divBdr>
    </w:div>
    <w:div w:id="178133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iosci.pgadmin@durham.ac.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pgphd.im@pg.com" TargetMode="External"/><Relationship Id="rId17" Type="http://schemas.openxmlformats.org/officeDocument/2006/relationships/hyperlink" Target="mailto:armstrong.s.3@pg.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g-pgr@imperial.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gphd.im@pg.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fc.pgr.admissions@northumbria.ac.uk" TargetMode="External"/><Relationship Id="rId23" Type="http://schemas.openxmlformats.org/officeDocument/2006/relationships/footer" Target="footer3.xml"/><Relationship Id="rId10" Type="http://schemas.openxmlformats.org/officeDocument/2006/relationships/hyperlink" Target="https://www.ukri.org/wp-content/uploads/2021/02/UKRI-030221-Guidance-International-Eligibility-Implementation-training-grant-holders-V2.pdf"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raig.Hinds@newcastle.ac.u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B6AD77B7114F48935FF75288D54339" ma:contentTypeVersion="6" ma:contentTypeDescription="Create a new document." ma:contentTypeScope="" ma:versionID="b8d5eb73c9289b09d36a7d77efbb831f">
  <xsd:schema xmlns:xsd="http://www.w3.org/2001/XMLSchema" xmlns:xs="http://www.w3.org/2001/XMLSchema" xmlns:p="http://schemas.microsoft.com/office/2006/metadata/properties" xmlns:ns2="5512b593-8561-45ea-901a-03b9941aeb82" targetNamespace="http://schemas.microsoft.com/office/2006/metadata/properties" ma:root="true" ma:fieldsID="a5bbffd258df53e793b00c4abc2698d3" ns2:_="">
    <xsd:import namespace="5512b593-8561-45ea-901a-03b9941aeb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2b593-8561-45ea-901a-03b9941ae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983968-898E-4AAF-96F2-C939E3904097}">
  <ds:schemaRefs>
    <ds:schemaRef ds:uri="http://schemas.microsoft.com/sharepoint/v3/contenttype/forms"/>
  </ds:schemaRefs>
</ds:datastoreItem>
</file>

<file path=customXml/itemProps2.xml><?xml version="1.0" encoding="utf-8"?>
<ds:datastoreItem xmlns:ds="http://schemas.openxmlformats.org/officeDocument/2006/customXml" ds:itemID="{E345D358-2F26-4A03-9496-CD7A8AFA33F2}">
  <ds:schemaRefs>
    <ds:schemaRef ds:uri="http://schemas.microsoft.com/office/2006/metadata/properties"/>
    <ds:schemaRef ds:uri="http://schemas.microsoft.com/office/infopath/2007/PartnerControls"/>
    <ds:schemaRef ds:uri="6c70f3b2-75a4-4b66-9519-890b55a4d941"/>
    <ds:schemaRef ds:uri="c1f7fa98-007f-47b1-a57f-ac7e0184a868"/>
  </ds:schemaRefs>
</ds:datastoreItem>
</file>

<file path=customXml/itemProps3.xml><?xml version="1.0" encoding="utf-8"?>
<ds:datastoreItem xmlns:ds="http://schemas.openxmlformats.org/officeDocument/2006/customXml" ds:itemID="{FDB593EE-255F-4A58-9E78-92F20DC87507}"/>
</file>

<file path=docProps/app.xml><?xml version="1.0" encoding="utf-8"?>
<Properties xmlns="http://schemas.openxmlformats.org/officeDocument/2006/extended-properties" xmlns:vt="http://schemas.openxmlformats.org/officeDocument/2006/docPropsVTypes">
  <Template>Normal</Template>
  <TotalTime>1</TotalTime>
  <Pages>7</Pages>
  <Words>2517</Words>
  <Characters>14199</Characters>
  <Application>Microsoft Office Word</Application>
  <DocSecurity>0</DocSecurity>
  <Lines>202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Links>
    <vt:vector size="60" baseType="variant">
      <vt:variant>
        <vt:i4>6488083</vt:i4>
      </vt:variant>
      <vt:variant>
        <vt:i4>18</vt:i4>
      </vt:variant>
      <vt:variant>
        <vt:i4>0</vt:i4>
      </vt:variant>
      <vt:variant>
        <vt:i4>5</vt:i4>
      </vt:variant>
      <vt:variant>
        <vt:lpwstr>mailto:armstrong.s.3@pg.com</vt:lpwstr>
      </vt:variant>
      <vt:variant>
        <vt:lpwstr/>
      </vt:variant>
      <vt:variant>
        <vt:i4>5636218</vt:i4>
      </vt:variant>
      <vt:variant>
        <vt:i4>15</vt:i4>
      </vt:variant>
      <vt:variant>
        <vt:i4>0</vt:i4>
      </vt:variant>
      <vt:variant>
        <vt:i4>5</vt:i4>
      </vt:variant>
      <vt:variant>
        <vt:lpwstr>mailto:paul.agnew@northumbria.ac.uk</vt:lpwstr>
      </vt:variant>
      <vt:variant>
        <vt:lpwstr/>
      </vt:variant>
      <vt:variant>
        <vt:i4>4128787</vt:i4>
      </vt:variant>
      <vt:variant>
        <vt:i4>12</vt:i4>
      </vt:variant>
      <vt:variant>
        <vt:i4>0</vt:i4>
      </vt:variant>
      <vt:variant>
        <vt:i4>5</vt:i4>
      </vt:variant>
      <vt:variant>
        <vt:lpwstr>mailto:Craig.Hinds@newcastle.ac.uk</vt:lpwstr>
      </vt:variant>
      <vt:variant>
        <vt:lpwstr/>
      </vt:variant>
      <vt:variant>
        <vt:i4>1048616</vt:i4>
      </vt:variant>
      <vt:variant>
        <vt:i4>9</vt:i4>
      </vt:variant>
      <vt:variant>
        <vt:i4>0</vt:i4>
      </vt:variant>
      <vt:variant>
        <vt:i4>5</vt:i4>
      </vt:variant>
      <vt:variant>
        <vt:lpwstr>mailto:emma.robinson@durham.ac.uk</vt:lpwstr>
      </vt:variant>
      <vt:variant>
        <vt:lpwstr/>
      </vt:variant>
      <vt:variant>
        <vt:i4>4587575</vt:i4>
      </vt:variant>
      <vt:variant>
        <vt:i4>6</vt:i4>
      </vt:variant>
      <vt:variant>
        <vt:i4>0</vt:i4>
      </vt:variant>
      <vt:variant>
        <vt:i4>5</vt:i4>
      </vt:variant>
      <vt:variant>
        <vt:lpwstr>mailto:pgphd.im@pg.com</vt:lpwstr>
      </vt:variant>
      <vt:variant>
        <vt:lpwstr/>
      </vt:variant>
      <vt:variant>
        <vt:i4>4587575</vt:i4>
      </vt:variant>
      <vt:variant>
        <vt:i4>3</vt:i4>
      </vt:variant>
      <vt:variant>
        <vt:i4>0</vt:i4>
      </vt:variant>
      <vt:variant>
        <vt:i4>5</vt:i4>
      </vt:variant>
      <vt:variant>
        <vt:lpwstr>mailto:pgphd.im@pg.com</vt:lpwstr>
      </vt:variant>
      <vt:variant>
        <vt:lpwstr/>
      </vt:variant>
      <vt:variant>
        <vt:i4>6553696</vt:i4>
      </vt:variant>
      <vt:variant>
        <vt:i4>0</vt:i4>
      </vt:variant>
      <vt:variant>
        <vt:i4>0</vt:i4>
      </vt:variant>
      <vt:variant>
        <vt:i4>5</vt:i4>
      </vt:variant>
      <vt:variant>
        <vt:lpwstr>https://www.ukri.org/wp-content/uploads/2021/02/UKRI-030221-Guidance-International-Eligibility-Implementation-training-grant-holders-V2.pdf</vt:lpwstr>
      </vt:variant>
      <vt:variant>
        <vt:lpwstr/>
      </vt:variant>
      <vt:variant>
        <vt:i4>5570606</vt:i4>
      </vt:variant>
      <vt:variant>
        <vt:i4>6</vt:i4>
      </vt:variant>
      <vt:variant>
        <vt:i4>0</vt:i4>
      </vt:variant>
      <vt:variant>
        <vt:i4>5</vt:i4>
      </vt:variant>
      <vt:variant>
        <vt:lpwstr>mailto:vasquezvaldivieso.mg@pg.com</vt:lpwstr>
      </vt:variant>
      <vt:variant>
        <vt:lpwstr/>
      </vt:variant>
      <vt:variant>
        <vt:i4>5963811</vt:i4>
      </vt:variant>
      <vt:variant>
        <vt:i4>3</vt:i4>
      </vt:variant>
      <vt:variant>
        <vt:i4>0</vt:i4>
      </vt:variant>
      <vt:variant>
        <vt:i4>5</vt:i4>
      </vt:variant>
      <vt:variant>
        <vt:lpwstr>mailto:laney.kr@pg.com</vt:lpwstr>
      </vt:variant>
      <vt:variant>
        <vt:lpwstr/>
      </vt:variant>
      <vt:variant>
        <vt:i4>5570606</vt:i4>
      </vt:variant>
      <vt:variant>
        <vt:i4>0</vt:i4>
      </vt:variant>
      <vt:variant>
        <vt:i4>0</vt:i4>
      </vt:variant>
      <vt:variant>
        <vt:i4>5</vt:i4>
      </vt:variant>
      <vt:variant>
        <vt:lpwstr>mailto:vasquezvaldivieso.mg@pg.com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Souter, Philip</dc:creator>
  <cp:keywords/>
  <dc:description/>
  <cp:lastModifiedBy>Laney, Katherine</cp:lastModifiedBy>
  <cp:revision>2</cp:revision>
  <dcterms:created xsi:type="dcterms:W3CDTF">2026-10-26T08:47:00Z</dcterms:created>
  <dcterms:modified xsi:type="dcterms:W3CDTF">2026-10-26T08:47:00Z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0x01010002B6AD77B7114F48935FF75288D54339</vt:lpwstr>
  </property>
  <property fmtid="{D5CDD505-2E9C-101B-9397-08002B2CF9AE}" pid="3" name="ClassificationContentMarkingHeaderShapeIds">
    <vt:lpwstr>6319f708,2d978f1f,612e4b72</vt:lpwstr>
  </property>
  <property fmtid="{D5CDD505-2E9C-101B-9397-08002B2CF9AE}" pid="4" name="ClassificationContentMarkingHeaderFontProps">
    <vt:lpwstr>#000000,10,Calibri</vt:lpwstr>
  </property>
  <property fmtid="{D5CDD505-2E9C-101B-9397-08002B2CF9AE}" pid="5" name="ClassificationContentMarkingHeaderText">
    <vt:lpwstr>Business Use</vt:lpwstr>
  </property>
  <property fmtid="{D5CDD505-2E9C-101B-9397-08002B2CF9AE}" pid="6" name="MSIP_Label_a518e53f-798e-43aa-978d-c3fda1f3a682_Enabled">
    <vt:lpwstr>true</vt:lpwstr>
  </property>
  <property fmtid="{D5CDD505-2E9C-101B-9397-08002B2CF9AE}" pid="7" name="MSIP_Label_a518e53f-798e-43aa-978d-c3fda1f3a682_SetDate">
    <vt:lpwstr>2024-11-11T11:09:27Z</vt:lpwstr>
  </property>
  <property fmtid="{D5CDD505-2E9C-101B-9397-08002B2CF9AE}" pid="8" name="MSIP_Label_a518e53f-798e-43aa-978d-c3fda1f3a682_Method">
    <vt:lpwstr>Privileged</vt:lpwstr>
  </property>
  <property fmtid="{D5CDD505-2E9C-101B-9397-08002B2CF9AE}" pid="9" name="MSIP_Label_a518e53f-798e-43aa-978d-c3fda1f3a682_Name">
    <vt:lpwstr>PG - Internal Use</vt:lpwstr>
  </property>
  <property fmtid="{D5CDD505-2E9C-101B-9397-08002B2CF9AE}" pid="10" name="MSIP_Label_a518e53f-798e-43aa-978d-c3fda1f3a682_SiteId">
    <vt:lpwstr>3596192b-fdf5-4e2c-a6fa-acb706c963d8</vt:lpwstr>
  </property>
  <property fmtid="{D5CDD505-2E9C-101B-9397-08002B2CF9AE}" pid="11" name="MSIP_Label_a518e53f-798e-43aa-978d-c3fda1f3a682_ActionId">
    <vt:lpwstr>ffd08c9d-05f8-4aeb-93a5-ebf7ae79aa9f</vt:lpwstr>
  </property>
  <property fmtid="{D5CDD505-2E9C-101B-9397-08002B2CF9AE}" pid="12" name="MSIP_Label_a518e53f-798e-43aa-978d-c3fda1f3a682_ContentBits">
    <vt:lpwstr>1</vt:lpwstr>
  </property>
  <property fmtid="{D5CDD505-2E9C-101B-9397-08002B2CF9AE}" pid="13" name="RevIMBCS">
    <vt:lpwstr>1;#Daily Work Documents [Standard]|c1df7c93-bf29-4bb4-a9f3-5b7aacc5e62b</vt:lpwstr>
  </property>
  <property fmtid="{D5CDD505-2E9C-101B-9397-08002B2CF9AE}" pid="14" name="docLang">
    <vt:lpwstr>en</vt:lpwstr>
  </property>
</Properties>
</file>