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64DD" w14:textId="7994F23A" w:rsidR="00986A03" w:rsidRPr="00235FF4" w:rsidRDefault="00986A03" w:rsidP="00AE044C">
      <w:pPr>
        <w:jc w:val="both"/>
        <w:rPr>
          <w:rFonts w:ascii="Calibri" w:hAnsi="Calibri" w:cs="Calibri"/>
          <w:sz w:val="18"/>
          <w:szCs w:val="18"/>
        </w:rPr>
      </w:pPr>
      <w:r w:rsidRPr="00235FF4">
        <w:rPr>
          <w:rFonts w:ascii="Calibri" w:hAnsi="Calibri" w:cs="Calibri"/>
          <w:sz w:val="18"/>
          <w:szCs w:val="18"/>
        </w:rPr>
        <w:t>(14A042024v</w:t>
      </w:r>
      <w:r w:rsidR="00D65F71">
        <w:rPr>
          <w:rFonts w:ascii="Calibri" w:hAnsi="Calibri" w:cs="Calibri"/>
          <w:sz w:val="18"/>
          <w:szCs w:val="18"/>
        </w:rPr>
        <w:t>4</w:t>
      </w:r>
      <w:r w:rsidRPr="00235FF4">
        <w:rPr>
          <w:rFonts w:ascii="Calibri" w:hAnsi="Calibri" w:cs="Calibri"/>
          <w:sz w:val="18"/>
          <w:szCs w:val="18"/>
        </w:rPr>
        <w:t>)</w:t>
      </w:r>
    </w:p>
    <w:p w14:paraId="66EC3DB4" w14:textId="3BD49414" w:rsidR="00986A03" w:rsidRPr="00235FF4" w:rsidRDefault="008472DF" w:rsidP="000D2CFC">
      <w:pPr>
        <w:jc w:val="center"/>
        <w:rPr>
          <w:rFonts w:ascii="Calibri" w:hAnsi="Calibri" w:cs="Calibri"/>
          <w:b/>
          <w:bCs/>
        </w:rPr>
      </w:pPr>
      <w:r w:rsidRPr="00235FF4">
        <w:rPr>
          <w:rFonts w:ascii="Calibri" w:hAnsi="Calibri" w:cs="Calibri"/>
          <w:b/>
          <w:bCs/>
        </w:rPr>
        <w:t>IPEBLA MILAN CONFERENCE</w:t>
      </w:r>
      <w:r w:rsidR="005B7176" w:rsidRPr="00235FF4">
        <w:rPr>
          <w:rFonts w:ascii="Calibri" w:hAnsi="Calibri" w:cs="Calibri"/>
          <w:b/>
          <w:bCs/>
        </w:rPr>
        <w:t>:</w:t>
      </w:r>
      <w:r w:rsidRPr="00235FF4">
        <w:rPr>
          <w:rFonts w:ascii="Calibri" w:hAnsi="Calibri" w:cs="Calibri"/>
          <w:b/>
          <w:bCs/>
        </w:rPr>
        <w:t xml:space="preserve"> WORKSHOP 1</w:t>
      </w:r>
      <w:r w:rsidR="009E50E5">
        <w:rPr>
          <w:rFonts w:ascii="Calibri" w:hAnsi="Calibri" w:cs="Calibri"/>
          <w:b/>
          <w:bCs/>
        </w:rPr>
        <w:t>6</w:t>
      </w:r>
    </w:p>
    <w:p w14:paraId="2B3CBE53" w14:textId="7F8C31B7" w:rsidR="005B7176" w:rsidRPr="00235FF4" w:rsidRDefault="002D5543" w:rsidP="000D2CFC">
      <w:pPr>
        <w:jc w:val="center"/>
        <w:rPr>
          <w:rFonts w:ascii="Calibri" w:hAnsi="Calibri" w:cs="Calibri"/>
          <w:b/>
          <w:bCs/>
        </w:rPr>
      </w:pPr>
      <w:r w:rsidRPr="00235FF4">
        <w:rPr>
          <w:rFonts w:ascii="Calibri" w:hAnsi="Calibri" w:cs="Calibri"/>
          <w:b/>
          <w:bCs/>
        </w:rPr>
        <w:t>CURRENT TOPICS IN DB PENSION PLAN FUNDING</w:t>
      </w:r>
    </w:p>
    <w:p w14:paraId="2B7CF326" w14:textId="77777777" w:rsidR="002D5543" w:rsidRPr="00235FF4" w:rsidRDefault="002D5543" w:rsidP="000D2CFC">
      <w:pPr>
        <w:jc w:val="center"/>
        <w:rPr>
          <w:rFonts w:ascii="Calibri" w:hAnsi="Calibri" w:cs="Calibri"/>
          <w:b/>
          <w:bCs/>
        </w:rPr>
      </w:pPr>
    </w:p>
    <w:p w14:paraId="629B7A66" w14:textId="25E348B9" w:rsidR="002D5543" w:rsidRPr="00235FF4" w:rsidRDefault="00D65F71" w:rsidP="000D2CFC">
      <w:pPr>
        <w:jc w:val="center"/>
        <w:rPr>
          <w:rFonts w:ascii="Calibri" w:hAnsi="Calibri" w:cs="Calibri"/>
          <w:b/>
          <w:bCs/>
        </w:rPr>
      </w:pPr>
      <w:r>
        <w:rPr>
          <w:rFonts w:ascii="Calibri" w:hAnsi="Calibri" w:cs="Calibri"/>
          <w:b/>
          <w:bCs/>
        </w:rPr>
        <w:t xml:space="preserve">BACKGROUND INFORMATION </w:t>
      </w:r>
      <w:r w:rsidR="002D5543" w:rsidRPr="00235FF4">
        <w:rPr>
          <w:rFonts w:ascii="Calibri" w:hAnsi="Calibri" w:cs="Calibri"/>
          <w:b/>
          <w:bCs/>
        </w:rPr>
        <w:t xml:space="preserve">TO SET THE SCENE FOR THE DISCUSSION IN </w:t>
      </w:r>
      <w:r w:rsidR="008D11D6" w:rsidRPr="00235FF4">
        <w:rPr>
          <w:rFonts w:ascii="Calibri" w:hAnsi="Calibri" w:cs="Calibri"/>
          <w:b/>
          <w:bCs/>
        </w:rPr>
        <w:t>WORKSHOP 16 ON TUESDAY, 28</w:t>
      </w:r>
      <w:r w:rsidR="008D11D6" w:rsidRPr="00235FF4">
        <w:rPr>
          <w:rFonts w:ascii="Calibri" w:hAnsi="Calibri" w:cs="Calibri"/>
          <w:b/>
          <w:bCs/>
          <w:vertAlign w:val="superscript"/>
        </w:rPr>
        <w:t>TH</w:t>
      </w:r>
      <w:r w:rsidR="008D11D6" w:rsidRPr="00235FF4">
        <w:rPr>
          <w:rFonts w:ascii="Calibri" w:hAnsi="Calibri" w:cs="Calibri"/>
          <w:b/>
          <w:bCs/>
        </w:rPr>
        <w:t xml:space="preserve"> MAY, 2024 AT 9:45AM</w:t>
      </w:r>
    </w:p>
    <w:p w14:paraId="0A755286" w14:textId="77777777" w:rsidR="008D11D6" w:rsidRPr="00235FF4" w:rsidRDefault="008D11D6" w:rsidP="000D2CFC">
      <w:pPr>
        <w:jc w:val="center"/>
        <w:rPr>
          <w:rFonts w:ascii="Calibri" w:hAnsi="Calibri" w:cs="Calibri"/>
          <w:b/>
          <w:bCs/>
        </w:rPr>
      </w:pPr>
    </w:p>
    <w:p w14:paraId="54364701" w14:textId="759D53E9" w:rsidR="008D11D6" w:rsidRPr="00235FF4" w:rsidRDefault="008D11D6" w:rsidP="00AE044C">
      <w:pPr>
        <w:spacing w:after="0"/>
        <w:jc w:val="both"/>
        <w:rPr>
          <w:rFonts w:ascii="Calibri" w:hAnsi="Calibri" w:cs="Calibri"/>
          <w:b/>
          <w:bCs/>
          <w:lang w:val="fr-FR"/>
        </w:rPr>
      </w:pPr>
      <w:r w:rsidRPr="00235FF4">
        <w:rPr>
          <w:rFonts w:ascii="Calibri" w:hAnsi="Calibri" w:cs="Calibri"/>
          <w:b/>
          <w:bCs/>
          <w:lang w:val="fr-FR"/>
        </w:rPr>
        <w:t>Contributors:</w:t>
      </w:r>
      <w:r w:rsidRPr="00235FF4">
        <w:rPr>
          <w:rFonts w:ascii="Calibri" w:hAnsi="Calibri" w:cs="Calibri"/>
          <w:b/>
          <w:bCs/>
          <w:lang w:val="fr-FR"/>
        </w:rPr>
        <w:tab/>
      </w:r>
      <w:r w:rsidR="003B6EF0" w:rsidRPr="00235FF4">
        <w:rPr>
          <w:rFonts w:ascii="Calibri" w:hAnsi="Calibri" w:cs="Calibri"/>
          <w:b/>
          <w:bCs/>
          <w:lang w:val="fr-FR"/>
        </w:rPr>
        <w:t>Jurgen de Vreese, Belgium</w:t>
      </w:r>
    </w:p>
    <w:p w14:paraId="403AD336" w14:textId="2A86ED2D" w:rsidR="003B6EF0" w:rsidRPr="00235FF4" w:rsidRDefault="004B5431" w:rsidP="00AE044C">
      <w:pPr>
        <w:spacing w:after="0"/>
        <w:jc w:val="both"/>
        <w:rPr>
          <w:rFonts w:ascii="Calibri" w:hAnsi="Calibri" w:cs="Calibri"/>
          <w:b/>
          <w:bCs/>
          <w:lang w:val="fr-FR"/>
        </w:rPr>
      </w:pPr>
      <w:r w:rsidRPr="00235FF4">
        <w:rPr>
          <w:rFonts w:ascii="Calibri" w:hAnsi="Calibri" w:cs="Calibri"/>
          <w:b/>
          <w:bCs/>
          <w:lang w:val="fr-FR"/>
        </w:rPr>
        <w:tab/>
      </w:r>
      <w:r w:rsidRPr="00235FF4">
        <w:rPr>
          <w:rFonts w:ascii="Calibri" w:hAnsi="Calibri" w:cs="Calibri"/>
          <w:b/>
          <w:bCs/>
          <w:lang w:val="fr-FR"/>
        </w:rPr>
        <w:tab/>
      </w:r>
      <w:r w:rsidR="003B6EF0" w:rsidRPr="00235FF4">
        <w:rPr>
          <w:rFonts w:ascii="Calibri" w:hAnsi="Calibri" w:cs="Calibri"/>
          <w:b/>
          <w:bCs/>
          <w:lang w:val="fr-FR"/>
        </w:rPr>
        <w:t>Auriane Damez, France</w:t>
      </w:r>
    </w:p>
    <w:p w14:paraId="5EEEBB3D" w14:textId="1E3C4EDD" w:rsidR="003B6EF0" w:rsidRPr="00235FF4" w:rsidRDefault="003B6EF0" w:rsidP="00AE044C">
      <w:pPr>
        <w:spacing w:after="0"/>
        <w:jc w:val="both"/>
        <w:rPr>
          <w:rFonts w:ascii="Calibri" w:hAnsi="Calibri" w:cs="Calibri"/>
          <w:b/>
          <w:bCs/>
        </w:rPr>
      </w:pPr>
      <w:r w:rsidRPr="00235FF4">
        <w:rPr>
          <w:rFonts w:ascii="Calibri" w:hAnsi="Calibri" w:cs="Calibri"/>
          <w:b/>
          <w:bCs/>
          <w:lang w:val="fr-FR"/>
        </w:rPr>
        <w:tab/>
      </w:r>
      <w:r w:rsidRPr="00235FF4">
        <w:rPr>
          <w:rFonts w:ascii="Calibri" w:hAnsi="Calibri" w:cs="Calibri"/>
          <w:b/>
          <w:bCs/>
          <w:lang w:val="fr-FR"/>
        </w:rPr>
        <w:tab/>
      </w:r>
      <w:r w:rsidRPr="00235FF4">
        <w:rPr>
          <w:rFonts w:ascii="Calibri" w:hAnsi="Calibri" w:cs="Calibri"/>
          <w:b/>
          <w:bCs/>
        </w:rPr>
        <w:t>Philip Bennett, UK</w:t>
      </w:r>
    </w:p>
    <w:p w14:paraId="5DF07C30" w14:textId="7EED77A5" w:rsidR="003B6EF0" w:rsidRPr="00235FF4" w:rsidRDefault="003B6EF0" w:rsidP="00AE044C">
      <w:pPr>
        <w:spacing w:after="0"/>
        <w:jc w:val="both"/>
        <w:rPr>
          <w:rFonts w:ascii="Calibri" w:hAnsi="Calibri" w:cs="Calibri"/>
          <w:b/>
          <w:bCs/>
        </w:rPr>
      </w:pPr>
      <w:r w:rsidRPr="00235FF4">
        <w:rPr>
          <w:rFonts w:ascii="Calibri" w:hAnsi="Calibri" w:cs="Calibri"/>
          <w:b/>
          <w:bCs/>
        </w:rPr>
        <w:tab/>
      </w:r>
      <w:r w:rsidRPr="00235FF4">
        <w:rPr>
          <w:rFonts w:ascii="Calibri" w:hAnsi="Calibri" w:cs="Calibri"/>
          <w:b/>
          <w:bCs/>
        </w:rPr>
        <w:tab/>
        <w:t xml:space="preserve">Dominic </w:t>
      </w:r>
      <w:r w:rsidR="00271371" w:rsidRPr="00235FF4">
        <w:rPr>
          <w:rFonts w:ascii="Calibri" w:hAnsi="Calibri" w:cs="Calibri"/>
          <w:b/>
          <w:bCs/>
        </w:rPr>
        <w:t>DeMatties</w:t>
      </w:r>
      <w:r w:rsidRPr="00235FF4">
        <w:rPr>
          <w:rFonts w:ascii="Calibri" w:hAnsi="Calibri" w:cs="Calibri"/>
          <w:b/>
          <w:bCs/>
        </w:rPr>
        <w:t>, USA</w:t>
      </w:r>
    </w:p>
    <w:p w14:paraId="732D41AF" w14:textId="77777777" w:rsidR="003B6EF0" w:rsidRPr="00235FF4" w:rsidRDefault="003B6EF0" w:rsidP="00AE044C">
      <w:pPr>
        <w:jc w:val="both"/>
        <w:rPr>
          <w:rFonts w:ascii="Calibri" w:hAnsi="Calibri" w:cs="Calibri"/>
          <w:b/>
          <w:bCs/>
        </w:rPr>
      </w:pPr>
    </w:p>
    <w:p w14:paraId="1D5A9099" w14:textId="73DAA976" w:rsidR="003B6EF0" w:rsidRPr="00235FF4" w:rsidRDefault="003B6EF0" w:rsidP="00AE044C">
      <w:pPr>
        <w:jc w:val="both"/>
        <w:rPr>
          <w:rFonts w:ascii="Calibri" w:hAnsi="Calibri" w:cs="Calibri"/>
          <w:b/>
          <w:bCs/>
        </w:rPr>
      </w:pPr>
      <w:r w:rsidRPr="00235FF4">
        <w:rPr>
          <w:rFonts w:ascii="Calibri" w:hAnsi="Calibri" w:cs="Calibri"/>
          <w:b/>
          <w:bCs/>
        </w:rPr>
        <w:t>Editor :</w:t>
      </w:r>
      <w:r w:rsidRPr="00235FF4">
        <w:rPr>
          <w:rFonts w:ascii="Calibri" w:hAnsi="Calibri" w:cs="Calibri"/>
          <w:b/>
          <w:bCs/>
        </w:rPr>
        <w:tab/>
      </w:r>
      <w:r w:rsidRPr="00235FF4">
        <w:rPr>
          <w:rFonts w:ascii="Calibri" w:hAnsi="Calibri" w:cs="Calibri"/>
          <w:b/>
          <w:bCs/>
        </w:rPr>
        <w:tab/>
        <w:t>Philip Bennett</w:t>
      </w:r>
    </w:p>
    <w:p w14:paraId="7FF90467" w14:textId="77777777" w:rsidR="003B6EF0" w:rsidRPr="00235FF4" w:rsidRDefault="003B6EF0" w:rsidP="00AE044C">
      <w:pPr>
        <w:jc w:val="both"/>
        <w:rPr>
          <w:rFonts w:ascii="Calibri" w:hAnsi="Calibri" w:cs="Calibri"/>
          <w:b/>
          <w:bCs/>
        </w:rPr>
      </w:pPr>
    </w:p>
    <w:p w14:paraId="7B1D7FEC" w14:textId="61591A02" w:rsidR="003B6EF0" w:rsidRPr="00235FF4" w:rsidRDefault="007D1CA5" w:rsidP="000D2CFC">
      <w:pPr>
        <w:jc w:val="right"/>
        <w:rPr>
          <w:rFonts w:ascii="Calibri" w:hAnsi="Calibri" w:cs="Calibri"/>
          <w:b/>
          <w:bCs/>
        </w:rPr>
      </w:pPr>
      <w:r>
        <w:rPr>
          <w:rFonts w:ascii="Calibri" w:hAnsi="Calibri" w:cs="Calibri"/>
          <w:b/>
          <w:bCs/>
        </w:rPr>
        <w:t xml:space="preserve">  </w:t>
      </w:r>
      <w:r w:rsidR="00E45AD1">
        <w:rPr>
          <w:rFonts w:ascii="Calibri" w:hAnsi="Calibri" w:cs="Calibri"/>
          <w:b/>
          <w:bCs/>
        </w:rPr>
        <w:t>14</w:t>
      </w:r>
      <w:r w:rsidR="00E45AD1" w:rsidRPr="00E45AD1">
        <w:rPr>
          <w:rFonts w:ascii="Calibri" w:hAnsi="Calibri" w:cs="Calibri"/>
          <w:b/>
          <w:bCs/>
          <w:vertAlign w:val="superscript"/>
        </w:rPr>
        <w:t>th</w:t>
      </w:r>
      <w:r w:rsidR="00E45AD1">
        <w:rPr>
          <w:rFonts w:ascii="Calibri" w:hAnsi="Calibri" w:cs="Calibri"/>
          <w:b/>
          <w:bCs/>
        </w:rPr>
        <w:t xml:space="preserve"> </w:t>
      </w:r>
      <w:r w:rsidR="00CB59A2">
        <w:rPr>
          <w:rFonts w:ascii="Calibri" w:hAnsi="Calibri" w:cs="Calibri"/>
          <w:b/>
          <w:bCs/>
        </w:rPr>
        <w:t xml:space="preserve">May, </w:t>
      </w:r>
      <w:r w:rsidR="0045101F" w:rsidRPr="00235FF4">
        <w:rPr>
          <w:rFonts w:ascii="Calibri" w:hAnsi="Calibri" w:cs="Calibri"/>
          <w:b/>
          <w:bCs/>
        </w:rPr>
        <w:t>2024</w:t>
      </w:r>
    </w:p>
    <w:p w14:paraId="3F11CDF8" w14:textId="68103019" w:rsidR="0045101F" w:rsidRPr="00235FF4" w:rsidRDefault="0045101F" w:rsidP="0005505F">
      <w:pPr>
        <w:ind w:left="2880" w:firstLine="720"/>
        <w:jc w:val="both"/>
        <w:rPr>
          <w:rFonts w:ascii="Calibri" w:hAnsi="Calibri" w:cs="Calibri"/>
          <w:b/>
          <w:bCs/>
          <w:u w:val="single"/>
        </w:rPr>
      </w:pPr>
      <w:r w:rsidRPr="00235FF4">
        <w:rPr>
          <w:rFonts w:ascii="Calibri" w:hAnsi="Calibri" w:cs="Calibri"/>
          <w:b/>
          <w:bCs/>
          <w:u w:val="single"/>
        </w:rPr>
        <w:t>Part I – Preliminary</w:t>
      </w:r>
    </w:p>
    <w:p w14:paraId="7F9D0DBB" w14:textId="0D6A9EB0" w:rsidR="0045101F" w:rsidRPr="00235FF4" w:rsidRDefault="0045101F" w:rsidP="00AE044C">
      <w:pPr>
        <w:jc w:val="both"/>
        <w:rPr>
          <w:rFonts w:ascii="Calibri" w:hAnsi="Calibri" w:cs="Calibri"/>
          <w:b/>
          <w:bCs/>
          <w:u w:val="single"/>
        </w:rPr>
      </w:pPr>
      <w:r w:rsidRPr="00235FF4">
        <w:rPr>
          <w:rFonts w:ascii="Calibri" w:hAnsi="Calibri" w:cs="Calibri"/>
          <w:b/>
          <w:bCs/>
        </w:rPr>
        <w:t>A.</w:t>
      </w:r>
      <w:r w:rsidRPr="00235FF4">
        <w:rPr>
          <w:rFonts w:ascii="Calibri" w:hAnsi="Calibri" w:cs="Calibri"/>
          <w:b/>
          <w:bCs/>
        </w:rPr>
        <w:tab/>
      </w:r>
      <w:r w:rsidRPr="00235FF4">
        <w:rPr>
          <w:rFonts w:ascii="Calibri" w:hAnsi="Calibri" w:cs="Calibri"/>
          <w:b/>
          <w:bCs/>
          <w:u w:val="single"/>
        </w:rPr>
        <w:t>Introduction</w:t>
      </w:r>
    </w:p>
    <w:p w14:paraId="6C088F5A" w14:textId="1B61C725" w:rsidR="0045101F" w:rsidRPr="00CB59A2" w:rsidRDefault="0045101F" w:rsidP="00783CED">
      <w:pPr>
        <w:ind w:left="720" w:hanging="720"/>
        <w:jc w:val="both"/>
        <w:rPr>
          <w:rFonts w:ascii="Calibri" w:hAnsi="Calibri" w:cs="Calibri"/>
          <w:b/>
          <w:bCs/>
        </w:rPr>
      </w:pPr>
      <w:r w:rsidRPr="00235FF4">
        <w:rPr>
          <w:rFonts w:ascii="Calibri" w:hAnsi="Calibri" w:cs="Calibri"/>
        </w:rPr>
        <w:t>1.</w:t>
      </w:r>
      <w:r w:rsidRPr="00235FF4">
        <w:rPr>
          <w:rFonts w:ascii="Calibri" w:hAnsi="Calibri" w:cs="Calibri"/>
        </w:rPr>
        <w:tab/>
        <w:t xml:space="preserve">In this </w:t>
      </w:r>
      <w:r w:rsidRPr="00235FF4">
        <w:rPr>
          <w:rFonts w:ascii="Calibri" w:hAnsi="Calibri" w:cs="Calibri"/>
          <w:b/>
          <w:bCs/>
        </w:rPr>
        <w:t xml:space="preserve">Part </w:t>
      </w:r>
      <w:r w:rsidR="0005505F" w:rsidRPr="00235FF4">
        <w:rPr>
          <w:rFonts w:ascii="Calibri" w:hAnsi="Calibri" w:cs="Calibri"/>
          <w:b/>
          <w:bCs/>
        </w:rPr>
        <w:t xml:space="preserve">I </w:t>
      </w:r>
      <w:r w:rsidRPr="00CB59A2">
        <w:rPr>
          <w:rFonts w:ascii="Calibri" w:hAnsi="Calibri" w:cs="Calibri"/>
          <w:b/>
          <w:bCs/>
        </w:rPr>
        <w:t>Section B</w:t>
      </w:r>
      <w:r w:rsidRPr="00CB59A2">
        <w:rPr>
          <w:rFonts w:ascii="Calibri" w:hAnsi="Calibri" w:cs="Calibri"/>
        </w:rPr>
        <w:t xml:space="preserve"> explains</w:t>
      </w:r>
      <w:r w:rsidR="00783CED">
        <w:rPr>
          <w:rFonts w:ascii="Calibri" w:hAnsi="Calibri" w:cs="Calibri"/>
        </w:rPr>
        <w:t xml:space="preserve"> some of</w:t>
      </w:r>
      <w:r w:rsidRPr="00CB59A2">
        <w:rPr>
          <w:rFonts w:ascii="Calibri" w:hAnsi="Calibri" w:cs="Calibri"/>
        </w:rPr>
        <w:t xml:space="preserve"> the terminology used in this documen</w:t>
      </w:r>
      <w:r w:rsidR="00783CED">
        <w:rPr>
          <w:rFonts w:ascii="Calibri" w:hAnsi="Calibri" w:cs="Calibri"/>
        </w:rPr>
        <w:t>t and which will be used in the Workshop. Some readers will be familiar with the terminology. But others may be unaware that, at least between the UK and the US, different terms mean very different things.</w:t>
      </w:r>
    </w:p>
    <w:p w14:paraId="50462269" w14:textId="6820CE53" w:rsidR="00E029C7" w:rsidRPr="00235FF4" w:rsidRDefault="00E029C7" w:rsidP="00AE044C">
      <w:pPr>
        <w:ind w:left="720" w:hanging="720"/>
        <w:jc w:val="both"/>
        <w:rPr>
          <w:rFonts w:ascii="Calibri" w:hAnsi="Calibri" w:cs="Calibri"/>
        </w:rPr>
      </w:pPr>
      <w:r>
        <w:rPr>
          <w:rFonts w:ascii="Calibri" w:hAnsi="Calibri" w:cs="Calibri"/>
        </w:rPr>
        <w:t>2.</w:t>
      </w:r>
      <w:r>
        <w:rPr>
          <w:rFonts w:ascii="Calibri" w:hAnsi="Calibri" w:cs="Calibri"/>
        </w:rPr>
        <w:tab/>
      </w:r>
      <w:r w:rsidRPr="00F350A1">
        <w:rPr>
          <w:rFonts w:ascii="Calibri" w:hAnsi="Calibri" w:cs="Calibri"/>
          <w:b/>
          <w:bCs/>
        </w:rPr>
        <w:t>Part II</w:t>
      </w:r>
      <w:r w:rsidR="00F00A02">
        <w:rPr>
          <w:rFonts w:ascii="Calibri" w:hAnsi="Calibri" w:cs="Calibri"/>
        </w:rPr>
        <w:t xml:space="preserve"> of this document contains some</w:t>
      </w:r>
      <w:r w:rsidRPr="00E029C7">
        <w:rPr>
          <w:rFonts w:ascii="Calibri" w:hAnsi="Calibri" w:cs="Calibri"/>
        </w:rPr>
        <w:t xml:space="preserve"> </w:t>
      </w:r>
      <w:r w:rsidR="00783CED">
        <w:rPr>
          <w:rFonts w:ascii="Calibri" w:hAnsi="Calibri" w:cs="Calibri"/>
        </w:rPr>
        <w:t>background themes</w:t>
      </w:r>
      <w:r w:rsidRPr="00E029C7">
        <w:rPr>
          <w:rFonts w:ascii="Calibri" w:hAnsi="Calibri" w:cs="Calibri"/>
        </w:rPr>
        <w:t xml:space="preserve"> which relate to funding of DB pension plans</w:t>
      </w:r>
      <w:r w:rsidR="00783CED">
        <w:rPr>
          <w:rFonts w:ascii="Calibri" w:hAnsi="Calibri" w:cs="Calibri"/>
        </w:rPr>
        <w:t xml:space="preserve"> and will help to set the scene for the discussion in the Workshop.</w:t>
      </w:r>
    </w:p>
    <w:p w14:paraId="2CD46699" w14:textId="49E8299C" w:rsidR="002D5543" w:rsidRPr="00235FF4" w:rsidRDefault="00916B90" w:rsidP="00AE044C">
      <w:pPr>
        <w:ind w:left="720" w:hanging="720"/>
        <w:jc w:val="both"/>
        <w:rPr>
          <w:rFonts w:ascii="Calibri" w:hAnsi="Calibri" w:cs="Calibri"/>
          <w:b/>
          <w:bCs/>
          <w:u w:val="single"/>
        </w:rPr>
      </w:pPr>
      <w:r w:rsidRPr="00235FF4">
        <w:rPr>
          <w:rFonts w:ascii="Calibri" w:hAnsi="Calibri" w:cs="Calibri"/>
          <w:b/>
          <w:bCs/>
        </w:rPr>
        <w:t>B.</w:t>
      </w:r>
      <w:r w:rsidRPr="00235FF4">
        <w:rPr>
          <w:rFonts w:ascii="Calibri" w:hAnsi="Calibri" w:cs="Calibri"/>
        </w:rPr>
        <w:tab/>
      </w:r>
      <w:r w:rsidRPr="00235FF4">
        <w:rPr>
          <w:rFonts w:ascii="Calibri" w:hAnsi="Calibri" w:cs="Calibri"/>
          <w:b/>
          <w:bCs/>
          <w:u w:val="single"/>
        </w:rPr>
        <w:t>Terminology</w:t>
      </w:r>
    </w:p>
    <w:p w14:paraId="5FAA0318" w14:textId="434310F3" w:rsidR="00916B90" w:rsidRPr="00235FF4" w:rsidRDefault="00916B90" w:rsidP="00AE044C">
      <w:pPr>
        <w:ind w:left="720" w:hanging="720"/>
        <w:jc w:val="both"/>
        <w:rPr>
          <w:rFonts w:ascii="Calibri" w:hAnsi="Calibri" w:cs="Calibri"/>
          <w:b/>
          <w:bCs/>
        </w:rPr>
      </w:pPr>
      <w:r w:rsidRPr="00235FF4">
        <w:rPr>
          <w:rFonts w:ascii="Calibri" w:hAnsi="Calibri" w:cs="Calibri"/>
          <w:b/>
          <w:bCs/>
        </w:rPr>
        <w:t>1.</w:t>
      </w:r>
      <w:r w:rsidRPr="00235FF4">
        <w:rPr>
          <w:rFonts w:ascii="Calibri" w:hAnsi="Calibri" w:cs="Calibri"/>
          <w:b/>
          <w:bCs/>
        </w:rPr>
        <w:tab/>
      </w:r>
      <w:r w:rsidRPr="00235FF4">
        <w:rPr>
          <w:rFonts w:ascii="Calibri" w:hAnsi="Calibri" w:cs="Calibri"/>
          <w:b/>
          <w:bCs/>
          <w:u w:val="single"/>
        </w:rPr>
        <w:t>Pillar 1, Pillar 2 and Pillar 3 pension systems</w:t>
      </w:r>
    </w:p>
    <w:p w14:paraId="2FAACB1A" w14:textId="4CFC54F3" w:rsidR="00B1681E" w:rsidRPr="00235FF4" w:rsidRDefault="00B1681E" w:rsidP="00AE044C">
      <w:pPr>
        <w:ind w:left="1418" w:hanging="698"/>
        <w:jc w:val="both"/>
        <w:rPr>
          <w:rFonts w:ascii="Calibri" w:hAnsi="Calibri" w:cs="Calibri"/>
        </w:rPr>
      </w:pPr>
      <w:r w:rsidRPr="00235FF4">
        <w:rPr>
          <w:rFonts w:ascii="Calibri" w:hAnsi="Calibri" w:cs="Calibri"/>
        </w:rPr>
        <w:t>1.1</w:t>
      </w:r>
      <w:r w:rsidRPr="00235FF4">
        <w:rPr>
          <w:rFonts w:ascii="Calibri" w:hAnsi="Calibri" w:cs="Calibri"/>
        </w:rPr>
        <w:tab/>
        <w:t>A common classification used in relation to pension systems is to divide them into three pillars:</w:t>
      </w:r>
    </w:p>
    <w:p w14:paraId="344DB747" w14:textId="361FC242" w:rsidR="00B1681E" w:rsidRPr="00235FF4" w:rsidRDefault="00B1681E" w:rsidP="00AE044C">
      <w:pPr>
        <w:pStyle w:val="ListParagraph"/>
        <w:numPr>
          <w:ilvl w:val="0"/>
          <w:numId w:val="2"/>
        </w:numPr>
        <w:ind w:left="1797"/>
        <w:contextualSpacing w:val="0"/>
        <w:jc w:val="both"/>
        <w:rPr>
          <w:rFonts w:ascii="Calibri" w:hAnsi="Calibri" w:cs="Calibri"/>
        </w:rPr>
      </w:pPr>
      <w:r w:rsidRPr="00235FF4">
        <w:rPr>
          <w:rFonts w:ascii="Calibri" w:hAnsi="Calibri" w:cs="Calibri"/>
          <w:b/>
          <w:bCs/>
        </w:rPr>
        <w:t>Pillar 1</w:t>
      </w:r>
      <w:r w:rsidR="00AC681B" w:rsidRPr="00235FF4">
        <w:rPr>
          <w:rFonts w:ascii="Calibri" w:hAnsi="Calibri" w:cs="Calibri"/>
        </w:rPr>
        <w:t>:</w:t>
      </w:r>
      <w:r w:rsidRPr="00235FF4">
        <w:rPr>
          <w:rFonts w:ascii="Calibri" w:hAnsi="Calibri" w:cs="Calibri"/>
        </w:rPr>
        <w:t xml:space="preserve"> the old age retirement pension system </w:t>
      </w:r>
      <w:r w:rsidR="00164C02" w:rsidRPr="00235FF4">
        <w:rPr>
          <w:rFonts w:ascii="Calibri" w:hAnsi="Calibri" w:cs="Calibri"/>
        </w:rPr>
        <w:t>or retirement social security</w:t>
      </w:r>
      <w:r w:rsidR="00221C4D" w:rsidRPr="00235FF4">
        <w:rPr>
          <w:rFonts w:ascii="Calibri" w:hAnsi="Calibri" w:cs="Calibri"/>
        </w:rPr>
        <w:t xml:space="preserve"> scheme</w:t>
      </w:r>
      <w:r w:rsidR="00164C02" w:rsidRPr="00235FF4">
        <w:rPr>
          <w:rFonts w:ascii="Calibri" w:hAnsi="Calibri" w:cs="Calibri"/>
        </w:rPr>
        <w:t xml:space="preserve"> </w:t>
      </w:r>
      <w:r w:rsidRPr="00235FF4">
        <w:rPr>
          <w:rFonts w:ascii="Calibri" w:hAnsi="Calibri" w:cs="Calibri"/>
        </w:rPr>
        <w:t>provided by the State.  This system is</w:t>
      </w:r>
      <w:r w:rsidR="00221C4D" w:rsidRPr="00235FF4">
        <w:rPr>
          <w:rFonts w:ascii="Calibri" w:hAnsi="Calibri" w:cs="Calibri"/>
        </w:rPr>
        <w:t>,</w:t>
      </w:r>
      <w:r w:rsidRPr="00235FF4">
        <w:rPr>
          <w:rFonts w:ascii="Calibri" w:hAnsi="Calibri" w:cs="Calibri"/>
        </w:rPr>
        <w:t xml:space="preserve"> for the four countries </w:t>
      </w:r>
      <w:r w:rsidR="00AC681B" w:rsidRPr="00235FF4">
        <w:rPr>
          <w:rFonts w:ascii="Calibri" w:hAnsi="Calibri" w:cs="Calibri"/>
        </w:rPr>
        <w:t>covered by this workshop, a defined benefit system.</w:t>
      </w:r>
    </w:p>
    <w:p w14:paraId="0BF84454" w14:textId="70CCD56B" w:rsidR="00AC681B" w:rsidRPr="00235FF4" w:rsidRDefault="00AC681B" w:rsidP="00AE044C">
      <w:pPr>
        <w:pStyle w:val="ListParagraph"/>
        <w:numPr>
          <w:ilvl w:val="0"/>
          <w:numId w:val="2"/>
        </w:numPr>
        <w:ind w:left="1797"/>
        <w:contextualSpacing w:val="0"/>
        <w:jc w:val="both"/>
        <w:rPr>
          <w:rFonts w:ascii="Calibri" w:hAnsi="Calibri" w:cs="Calibri"/>
        </w:rPr>
      </w:pPr>
      <w:r w:rsidRPr="00235FF4">
        <w:rPr>
          <w:rFonts w:ascii="Calibri" w:hAnsi="Calibri" w:cs="Calibri"/>
          <w:b/>
          <w:bCs/>
        </w:rPr>
        <w:t>Pillar 2</w:t>
      </w:r>
      <w:r w:rsidRPr="00235FF4">
        <w:rPr>
          <w:rFonts w:ascii="Calibri" w:hAnsi="Calibri" w:cs="Calibri"/>
        </w:rPr>
        <w:t>: the old age pension or retirement savings arrangements made by employers for their employees.  We use this terminology in relation to Belgium, UK and the US.</w:t>
      </w:r>
    </w:p>
    <w:p w14:paraId="78317637" w14:textId="77B62B84" w:rsidR="00AC681B" w:rsidRPr="00235FF4" w:rsidRDefault="00AC681B" w:rsidP="00AE044C">
      <w:pPr>
        <w:pStyle w:val="ListParagraph"/>
        <w:ind w:left="1797"/>
        <w:contextualSpacing w:val="0"/>
        <w:jc w:val="both"/>
        <w:rPr>
          <w:rFonts w:ascii="Calibri" w:hAnsi="Calibri" w:cs="Calibri"/>
        </w:rPr>
      </w:pPr>
      <w:r w:rsidRPr="00235FF4">
        <w:rPr>
          <w:rFonts w:ascii="Calibri" w:hAnsi="Calibri" w:cs="Calibri"/>
          <w:b/>
          <w:bCs/>
        </w:rPr>
        <w:t>Note</w:t>
      </w:r>
      <w:r w:rsidR="009D3D53" w:rsidRPr="00235FF4">
        <w:rPr>
          <w:rFonts w:ascii="Calibri" w:hAnsi="Calibri" w:cs="Calibri"/>
          <w:b/>
          <w:bCs/>
        </w:rPr>
        <w:t xml:space="preserve"> 1</w:t>
      </w:r>
      <w:r w:rsidRPr="00235FF4">
        <w:rPr>
          <w:rFonts w:ascii="Calibri" w:hAnsi="Calibri" w:cs="Calibri"/>
        </w:rPr>
        <w:t xml:space="preserve">: The obligation of the employer to provide or participate in a </w:t>
      </w:r>
      <w:r w:rsidR="006F309B" w:rsidRPr="00235FF4">
        <w:rPr>
          <w:rFonts w:ascii="Calibri" w:hAnsi="Calibri" w:cs="Calibri"/>
        </w:rPr>
        <w:t>Pillar</w:t>
      </w:r>
      <w:r w:rsidR="009B773B" w:rsidRPr="00235FF4">
        <w:rPr>
          <w:rFonts w:ascii="Calibri" w:hAnsi="Calibri" w:cs="Calibri"/>
        </w:rPr>
        <w:t xml:space="preserve"> 2 system may be:</w:t>
      </w:r>
    </w:p>
    <w:p w14:paraId="44286096" w14:textId="148CF62A" w:rsidR="009B773B" w:rsidRPr="00235FF4" w:rsidRDefault="00935878" w:rsidP="00AE044C">
      <w:pPr>
        <w:pStyle w:val="ListParagraph"/>
        <w:numPr>
          <w:ilvl w:val="0"/>
          <w:numId w:val="3"/>
        </w:numPr>
        <w:ind w:left="2157"/>
        <w:contextualSpacing w:val="0"/>
        <w:jc w:val="both"/>
        <w:rPr>
          <w:rFonts w:ascii="Calibri" w:hAnsi="Calibri" w:cs="Calibri"/>
        </w:rPr>
      </w:pPr>
      <w:r w:rsidRPr="00235FF4">
        <w:rPr>
          <w:rFonts w:ascii="Calibri" w:hAnsi="Calibri" w:cs="Calibri"/>
        </w:rPr>
        <w:t>f</w:t>
      </w:r>
      <w:r w:rsidR="009B773B" w:rsidRPr="00235FF4">
        <w:rPr>
          <w:rFonts w:ascii="Calibri" w:hAnsi="Calibri" w:cs="Calibri"/>
        </w:rPr>
        <w:t>ree</w:t>
      </w:r>
      <w:r w:rsidR="00635BFD" w:rsidRPr="00235FF4">
        <w:rPr>
          <w:rFonts w:ascii="Calibri" w:hAnsi="Calibri" w:cs="Calibri"/>
        </w:rPr>
        <w:t xml:space="preserve"> </w:t>
      </w:r>
      <w:r w:rsidR="009B773B" w:rsidRPr="00235FF4">
        <w:rPr>
          <w:rFonts w:ascii="Calibri" w:hAnsi="Calibri" w:cs="Calibri"/>
        </w:rPr>
        <w:t>market (ie voluntary for the employer),</w:t>
      </w:r>
    </w:p>
    <w:p w14:paraId="11DC2CEF" w14:textId="161245D1" w:rsidR="009B773B" w:rsidRPr="00235FF4" w:rsidRDefault="00635BFD" w:rsidP="00AE044C">
      <w:pPr>
        <w:pStyle w:val="ListParagraph"/>
        <w:numPr>
          <w:ilvl w:val="0"/>
          <w:numId w:val="3"/>
        </w:numPr>
        <w:ind w:left="2157"/>
        <w:contextualSpacing w:val="0"/>
        <w:jc w:val="both"/>
        <w:rPr>
          <w:rFonts w:ascii="Calibri" w:hAnsi="Calibri" w:cs="Calibri"/>
        </w:rPr>
      </w:pPr>
      <w:r w:rsidRPr="00235FF4">
        <w:rPr>
          <w:rFonts w:ascii="Calibri" w:hAnsi="Calibri" w:cs="Calibri"/>
        </w:rPr>
        <w:lastRenderedPageBreak/>
        <w:t>required, at leas</w:t>
      </w:r>
      <w:r w:rsidR="006F309B" w:rsidRPr="00235FF4">
        <w:rPr>
          <w:rFonts w:ascii="Calibri" w:hAnsi="Calibri" w:cs="Calibri"/>
        </w:rPr>
        <w:t>t</w:t>
      </w:r>
      <w:r w:rsidRPr="00235FF4">
        <w:rPr>
          <w:rFonts w:ascii="Calibri" w:hAnsi="Calibri" w:cs="Calibri"/>
        </w:rPr>
        <w:t xml:space="preserve"> as to a minimum level, by legislation of the jurisdiction in question, or</w:t>
      </w:r>
    </w:p>
    <w:p w14:paraId="69F449C3" w14:textId="6A567C4A" w:rsidR="00635BFD" w:rsidRPr="00235FF4" w:rsidRDefault="00935878" w:rsidP="00AE044C">
      <w:pPr>
        <w:pStyle w:val="ListParagraph"/>
        <w:numPr>
          <w:ilvl w:val="0"/>
          <w:numId w:val="3"/>
        </w:numPr>
        <w:ind w:left="2157"/>
        <w:contextualSpacing w:val="0"/>
        <w:jc w:val="both"/>
        <w:rPr>
          <w:rFonts w:ascii="Calibri" w:hAnsi="Calibri" w:cs="Calibri"/>
        </w:rPr>
      </w:pPr>
      <w:r w:rsidRPr="00235FF4">
        <w:rPr>
          <w:rFonts w:ascii="Calibri" w:hAnsi="Calibri" w:cs="Calibri"/>
        </w:rPr>
        <w:t xml:space="preserve">although free market (in part) may be collectively bargained, in relation to </w:t>
      </w:r>
      <w:r w:rsidR="00D45973" w:rsidRPr="00235FF4">
        <w:rPr>
          <w:rFonts w:ascii="Calibri" w:hAnsi="Calibri" w:cs="Calibri"/>
        </w:rPr>
        <w:t>particular i</w:t>
      </w:r>
      <w:r w:rsidR="00552FD3" w:rsidRPr="00235FF4">
        <w:rPr>
          <w:rFonts w:ascii="Calibri" w:hAnsi="Calibri" w:cs="Calibri"/>
        </w:rPr>
        <w:t>ndustry or occupation, with no right for employers and employe</w:t>
      </w:r>
      <w:r w:rsidR="00D05771" w:rsidRPr="00235FF4">
        <w:rPr>
          <w:rFonts w:ascii="Calibri" w:hAnsi="Calibri" w:cs="Calibri"/>
        </w:rPr>
        <w:t>es covered by that collective bargaining agreement to opt out</w:t>
      </w:r>
      <w:r w:rsidR="00A75774" w:rsidRPr="00235FF4">
        <w:rPr>
          <w:rFonts w:ascii="Calibri" w:hAnsi="Calibri" w:cs="Calibri"/>
        </w:rPr>
        <w:t>.</w:t>
      </w:r>
    </w:p>
    <w:p w14:paraId="1A8B1046" w14:textId="2CD5E3D6" w:rsidR="00A75774" w:rsidRPr="00235FF4" w:rsidRDefault="00A75774" w:rsidP="00AE044C">
      <w:pPr>
        <w:pStyle w:val="ListParagraph"/>
        <w:ind w:left="1797"/>
        <w:contextualSpacing w:val="0"/>
        <w:jc w:val="both"/>
        <w:rPr>
          <w:rFonts w:ascii="Calibri" w:hAnsi="Calibri" w:cs="Calibri"/>
        </w:rPr>
      </w:pPr>
      <w:r w:rsidRPr="00235FF4">
        <w:rPr>
          <w:rFonts w:ascii="Calibri" w:hAnsi="Calibri" w:cs="Calibri"/>
          <w:b/>
          <w:bCs/>
        </w:rPr>
        <w:t>Note</w:t>
      </w:r>
      <w:r w:rsidR="009D3D53" w:rsidRPr="00235FF4">
        <w:rPr>
          <w:rFonts w:ascii="Calibri" w:hAnsi="Calibri" w:cs="Calibri"/>
        </w:rPr>
        <w:t xml:space="preserve"> </w:t>
      </w:r>
      <w:r w:rsidR="009D3D53" w:rsidRPr="00235FF4">
        <w:rPr>
          <w:rFonts w:ascii="Calibri" w:hAnsi="Calibri" w:cs="Calibri"/>
          <w:b/>
          <w:bCs/>
        </w:rPr>
        <w:t>2</w:t>
      </w:r>
      <w:r w:rsidRPr="00235FF4">
        <w:rPr>
          <w:rFonts w:ascii="Calibri" w:hAnsi="Calibri" w:cs="Calibri"/>
        </w:rPr>
        <w:t xml:space="preserve">: However, the </w:t>
      </w:r>
      <w:r w:rsidR="00D05771" w:rsidRPr="00235FF4">
        <w:rPr>
          <w:rFonts w:ascii="Calibri" w:hAnsi="Calibri" w:cs="Calibri"/>
        </w:rPr>
        <w:t>Pilla</w:t>
      </w:r>
      <w:r w:rsidR="00E508DA" w:rsidRPr="00235FF4">
        <w:rPr>
          <w:rFonts w:ascii="Calibri" w:hAnsi="Calibri" w:cs="Calibri"/>
        </w:rPr>
        <w:t>r 2</w:t>
      </w:r>
      <w:r w:rsidR="009D3D53" w:rsidRPr="00235FF4">
        <w:rPr>
          <w:rFonts w:ascii="Calibri" w:hAnsi="Calibri" w:cs="Calibri"/>
        </w:rPr>
        <w:t xml:space="preserve"> system for France is </w:t>
      </w:r>
      <w:r w:rsidR="0037203D">
        <w:rPr>
          <w:rFonts w:ascii="Calibri" w:hAnsi="Calibri" w:cs="Calibri"/>
        </w:rPr>
        <w:t xml:space="preserve">treated as </w:t>
      </w:r>
      <w:r w:rsidR="009D3D53" w:rsidRPr="00235FF4">
        <w:rPr>
          <w:rFonts w:ascii="Calibri" w:hAnsi="Calibri" w:cs="Calibri"/>
        </w:rPr>
        <w:t xml:space="preserve">part of the </w:t>
      </w:r>
      <w:r w:rsidR="00E508DA" w:rsidRPr="00235FF4">
        <w:rPr>
          <w:rFonts w:ascii="Calibri" w:hAnsi="Calibri" w:cs="Calibri"/>
        </w:rPr>
        <w:t xml:space="preserve">Pillar </w:t>
      </w:r>
      <w:r w:rsidR="009D3D53" w:rsidRPr="00235FF4">
        <w:rPr>
          <w:rFonts w:ascii="Calibri" w:hAnsi="Calibri" w:cs="Calibri"/>
        </w:rPr>
        <w:t>1 system (as explained later in this paper).</w:t>
      </w:r>
    </w:p>
    <w:p w14:paraId="6771158D" w14:textId="25294AC1" w:rsidR="00BD3FCC" w:rsidRDefault="00A75774" w:rsidP="00AE044C">
      <w:pPr>
        <w:pStyle w:val="ListParagraph"/>
        <w:numPr>
          <w:ilvl w:val="0"/>
          <w:numId w:val="2"/>
        </w:numPr>
        <w:ind w:left="1797"/>
        <w:contextualSpacing w:val="0"/>
        <w:jc w:val="both"/>
        <w:rPr>
          <w:rFonts w:ascii="Calibri" w:hAnsi="Calibri" w:cs="Calibri"/>
        </w:rPr>
      </w:pPr>
      <w:r w:rsidRPr="00235FF4">
        <w:rPr>
          <w:rFonts w:ascii="Calibri" w:hAnsi="Calibri" w:cs="Calibri"/>
          <w:b/>
          <w:bCs/>
        </w:rPr>
        <w:t>Pillar 3</w:t>
      </w:r>
      <w:r w:rsidR="009D3D53" w:rsidRPr="00235FF4">
        <w:rPr>
          <w:rFonts w:ascii="Calibri" w:hAnsi="Calibri" w:cs="Calibri"/>
        </w:rPr>
        <w:t xml:space="preserve">: </w:t>
      </w:r>
      <w:r w:rsidR="0024073B" w:rsidRPr="00235FF4">
        <w:rPr>
          <w:rFonts w:ascii="Calibri" w:hAnsi="Calibri" w:cs="Calibri"/>
        </w:rPr>
        <w:t>these are for Belgium, the UK</w:t>
      </w:r>
      <w:r w:rsidR="001175FF">
        <w:rPr>
          <w:rStyle w:val="FootnoteReference"/>
          <w:rFonts w:ascii="Calibri" w:hAnsi="Calibri" w:cs="Calibri"/>
        </w:rPr>
        <w:footnoteReference w:id="2"/>
      </w:r>
      <w:r w:rsidR="0024073B" w:rsidRPr="00235FF4">
        <w:rPr>
          <w:rFonts w:ascii="Calibri" w:hAnsi="Calibri" w:cs="Calibri"/>
        </w:rPr>
        <w:t xml:space="preserve"> and the US, voluntary (but usually taxed privileged) retirement savings arrangements made by individuals </w:t>
      </w:r>
      <w:r w:rsidR="004D51F7" w:rsidRPr="00235FF4">
        <w:rPr>
          <w:rFonts w:ascii="Calibri" w:hAnsi="Calibri" w:cs="Calibri"/>
        </w:rPr>
        <w:t xml:space="preserve">to supplement their </w:t>
      </w:r>
      <w:r w:rsidR="001E7F5E" w:rsidRPr="00235FF4">
        <w:rPr>
          <w:rFonts w:ascii="Calibri" w:hAnsi="Calibri" w:cs="Calibri"/>
        </w:rPr>
        <w:t xml:space="preserve"> Pillar </w:t>
      </w:r>
      <w:r w:rsidR="004D51F7" w:rsidRPr="00235FF4">
        <w:rPr>
          <w:rFonts w:ascii="Calibri" w:hAnsi="Calibri" w:cs="Calibri"/>
        </w:rPr>
        <w:t xml:space="preserve">1 and </w:t>
      </w:r>
      <w:r w:rsidR="001E7F5E" w:rsidRPr="00235FF4">
        <w:rPr>
          <w:rFonts w:ascii="Calibri" w:hAnsi="Calibri" w:cs="Calibri"/>
        </w:rPr>
        <w:t>Pillar</w:t>
      </w:r>
      <w:r w:rsidR="004D51F7" w:rsidRPr="00235FF4">
        <w:rPr>
          <w:rFonts w:ascii="Calibri" w:hAnsi="Calibri" w:cs="Calibri"/>
        </w:rPr>
        <w:t xml:space="preserve"> 2 pensions or retirement savings.  However, in France</w:t>
      </w:r>
      <w:r w:rsidR="00DD5534">
        <w:rPr>
          <w:rFonts w:ascii="Calibri" w:hAnsi="Calibri" w:cs="Calibri"/>
        </w:rPr>
        <w:t xml:space="preserve">, </w:t>
      </w:r>
      <w:r w:rsidR="004D51F7" w:rsidRPr="00235FF4">
        <w:rPr>
          <w:rFonts w:ascii="Calibri" w:hAnsi="Calibri" w:cs="Calibri"/>
        </w:rPr>
        <w:t xml:space="preserve">Pillar 3 is used to denote pension or retirement savings arrangements set up by employers </w:t>
      </w:r>
      <w:r w:rsidR="00BD3FCC">
        <w:rPr>
          <w:rFonts w:ascii="Calibri" w:hAnsi="Calibri" w:cs="Calibri"/>
        </w:rPr>
        <w:t xml:space="preserve">(free market or </w:t>
      </w:r>
      <w:r w:rsidR="00BD3FCC" w:rsidRPr="00235FF4">
        <w:rPr>
          <w:rFonts w:ascii="Calibri" w:hAnsi="Calibri" w:cs="Calibri"/>
        </w:rPr>
        <w:t>collectively bargained</w:t>
      </w:r>
      <w:r w:rsidR="00BD3FCC">
        <w:rPr>
          <w:rFonts w:ascii="Calibri" w:hAnsi="Calibri" w:cs="Calibri"/>
        </w:rPr>
        <w:t xml:space="preserve">) and </w:t>
      </w:r>
      <w:r w:rsidR="00BD3FCC" w:rsidRPr="00235FF4">
        <w:rPr>
          <w:rFonts w:ascii="Calibri" w:hAnsi="Calibri" w:cs="Calibri"/>
        </w:rPr>
        <w:t>retirement savings arrangements made by individuals</w:t>
      </w:r>
      <w:r w:rsidR="00BD3FCC">
        <w:rPr>
          <w:rFonts w:ascii="Calibri" w:hAnsi="Calibri" w:cs="Calibri"/>
        </w:rPr>
        <w:t>.</w:t>
      </w:r>
    </w:p>
    <w:p w14:paraId="11858A01" w14:textId="51519EB9" w:rsidR="00681488" w:rsidRPr="00235FF4" w:rsidRDefault="00681488" w:rsidP="00AE044C">
      <w:pPr>
        <w:jc w:val="both"/>
        <w:rPr>
          <w:rFonts w:ascii="Calibri" w:hAnsi="Calibri" w:cs="Calibri"/>
          <w:b/>
          <w:bCs/>
          <w:u w:val="single"/>
        </w:rPr>
      </w:pPr>
      <w:r w:rsidRPr="00235FF4">
        <w:rPr>
          <w:rFonts w:ascii="Calibri" w:hAnsi="Calibri" w:cs="Calibri"/>
          <w:b/>
          <w:bCs/>
        </w:rPr>
        <w:t>2.</w:t>
      </w:r>
      <w:r w:rsidRPr="00235FF4">
        <w:rPr>
          <w:rFonts w:ascii="Calibri" w:hAnsi="Calibri" w:cs="Calibri"/>
          <w:b/>
          <w:bCs/>
        </w:rPr>
        <w:tab/>
      </w:r>
      <w:r w:rsidRPr="00235FF4">
        <w:rPr>
          <w:rFonts w:ascii="Calibri" w:hAnsi="Calibri" w:cs="Calibri"/>
          <w:b/>
          <w:bCs/>
          <w:u w:val="single"/>
        </w:rPr>
        <w:t>Plan or Scheme</w:t>
      </w:r>
    </w:p>
    <w:p w14:paraId="5482CE74" w14:textId="52160521" w:rsidR="005A052E" w:rsidRDefault="00747941" w:rsidP="00E97564">
      <w:pPr>
        <w:ind w:left="1440" w:hanging="720"/>
        <w:jc w:val="both"/>
        <w:rPr>
          <w:rFonts w:ascii="Calibri" w:hAnsi="Calibri" w:cs="Calibri"/>
        </w:rPr>
      </w:pPr>
      <w:r w:rsidRPr="00235FF4">
        <w:rPr>
          <w:rFonts w:ascii="Calibri" w:hAnsi="Calibri" w:cs="Calibri"/>
        </w:rPr>
        <w:t>2.1</w:t>
      </w:r>
      <w:r w:rsidRPr="00235FF4">
        <w:rPr>
          <w:rFonts w:ascii="Calibri" w:hAnsi="Calibri" w:cs="Calibri"/>
        </w:rPr>
        <w:tab/>
        <w:t>UK pensions legislation refers to “occupational pension scheme</w:t>
      </w:r>
      <w:r w:rsidR="000F3646" w:rsidRPr="00235FF4">
        <w:rPr>
          <w:rFonts w:ascii="Calibri" w:hAnsi="Calibri" w:cs="Calibri"/>
        </w:rPr>
        <w:t>” or “personal pension scheme</w:t>
      </w:r>
      <w:r w:rsidRPr="00235FF4">
        <w:rPr>
          <w:rFonts w:ascii="Calibri" w:hAnsi="Calibri" w:cs="Calibri"/>
        </w:rPr>
        <w:t>”</w:t>
      </w:r>
      <w:r w:rsidR="005E1529" w:rsidRPr="00235FF4">
        <w:rPr>
          <w:rFonts w:ascii="Calibri" w:hAnsi="Calibri" w:cs="Calibri"/>
        </w:rPr>
        <w:t>.</w:t>
      </w:r>
      <w:r w:rsidRPr="00235FF4">
        <w:rPr>
          <w:rStyle w:val="FootnoteReference"/>
          <w:rFonts w:ascii="Calibri" w:hAnsi="Calibri" w:cs="Calibri"/>
        </w:rPr>
        <w:footnoteReference w:id="3"/>
      </w:r>
    </w:p>
    <w:p w14:paraId="741388A1" w14:textId="1623DD0F" w:rsidR="00E97564" w:rsidRPr="00417169" w:rsidRDefault="00E97564" w:rsidP="00417169">
      <w:pPr>
        <w:ind w:left="1440" w:hanging="720"/>
        <w:jc w:val="both"/>
        <w:rPr>
          <w:rFonts w:ascii="Calibri" w:hAnsi="Calibri" w:cs="Calibri"/>
        </w:rPr>
      </w:pPr>
      <w:r>
        <w:rPr>
          <w:rFonts w:ascii="Calibri" w:hAnsi="Calibri" w:cs="Calibri"/>
        </w:rPr>
        <w:t>2.2</w:t>
      </w:r>
      <w:r>
        <w:rPr>
          <w:rFonts w:ascii="Calibri" w:hAnsi="Calibri" w:cs="Calibri"/>
        </w:rPr>
        <w:tab/>
        <w:t xml:space="preserve">Similarly, </w:t>
      </w:r>
      <w:r w:rsidR="00417169">
        <w:rPr>
          <w:rFonts w:ascii="Calibri" w:hAnsi="Calibri" w:cs="Calibri"/>
        </w:rPr>
        <w:t>in the English language</w:t>
      </w:r>
      <w:r w:rsidR="000B2D7B">
        <w:rPr>
          <w:rFonts w:ascii="Calibri" w:hAnsi="Calibri" w:cs="Calibri"/>
        </w:rPr>
        <w:t xml:space="preserve"> version</w:t>
      </w:r>
      <w:r w:rsidR="00417169">
        <w:rPr>
          <w:rFonts w:ascii="Calibri" w:hAnsi="Calibri" w:cs="Calibri"/>
        </w:rPr>
        <w:t xml:space="preserve"> of the IORP II Directive</w:t>
      </w:r>
      <w:r w:rsidR="00974153">
        <w:rPr>
          <w:rStyle w:val="FootnoteReference"/>
          <w:rFonts w:ascii="Calibri" w:hAnsi="Calibri" w:cs="Calibri"/>
        </w:rPr>
        <w:footnoteReference w:id="4"/>
      </w:r>
      <w:r w:rsidR="00417169">
        <w:rPr>
          <w:rFonts w:ascii="Calibri" w:hAnsi="Calibri" w:cs="Calibri"/>
        </w:rPr>
        <w:t xml:space="preserve"> (see </w:t>
      </w:r>
      <w:r w:rsidR="00417169">
        <w:rPr>
          <w:rFonts w:ascii="Calibri" w:hAnsi="Calibri" w:cs="Calibri"/>
          <w:b/>
          <w:bCs/>
        </w:rPr>
        <w:t>3</w:t>
      </w:r>
      <w:r w:rsidR="00417169">
        <w:rPr>
          <w:rFonts w:ascii="Calibri" w:hAnsi="Calibri" w:cs="Calibri"/>
        </w:rPr>
        <w:t xml:space="preserve"> below), the term used is “pension scheme”.  </w:t>
      </w:r>
    </w:p>
    <w:p w14:paraId="5F687F49" w14:textId="7DDA8B1C" w:rsidR="005E1529" w:rsidRDefault="005E1529" w:rsidP="00AE044C">
      <w:pPr>
        <w:ind w:left="720"/>
        <w:jc w:val="both"/>
        <w:rPr>
          <w:rFonts w:ascii="Calibri" w:hAnsi="Calibri" w:cs="Calibri"/>
        </w:rPr>
      </w:pPr>
      <w:r w:rsidRPr="00235FF4">
        <w:rPr>
          <w:rFonts w:ascii="Calibri" w:hAnsi="Calibri" w:cs="Calibri"/>
        </w:rPr>
        <w:t>2.</w:t>
      </w:r>
      <w:r w:rsidR="00417169">
        <w:rPr>
          <w:rFonts w:ascii="Calibri" w:hAnsi="Calibri" w:cs="Calibri"/>
        </w:rPr>
        <w:t>3</w:t>
      </w:r>
      <w:r w:rsidRPr="00235FF4">
        <w:rPr>
          <w:rFonts w:ascii="Calibri" w:hAnsi="Calibri" w:cs="Calibri"/>
        </w:rPr>
        <w:tab/>
        <w:t>In contrast, in the US the terminology used is “pension plan”</w:t>
      </w:r>
      <w:r w:rsidR="00C30F53" w:rsidRPr="00235FF4">
        <w:rPr>
          <w:rFonts w:ascii="Calibri" w:hAnsi="Calibri" w:cs="Calibri"/>
        </w:rPr>
        <w:t>.</w:t>
      </w:r>
      <w:r w:rsidR="00C30F53" w:rsidRPr="00235FF4">
        <w:rPr>
          <w:rStyle w:val="FootnoteReference"/>
          <w:rFonts w:ascii="Calibri" w:hAnsi="Calibri" w:cs="Calibri"/>
        </w:rPr>
        <w:footnoteReference w:id="5"/>
      </w:r>
    </w:p>
    <w:p w14:paraId="30862F74" w14:textId="598BD925" w:rsidR="00003A25" w:rsidRPr="00235FF4" w:rsidRDefault="003079F4" w:rsidP="00157C12">
      <w:pPr>
        <w:ind w:left="1440" w:hanging="720"/>
        <w:jc w:val="both"/>
        <w:rPr>
          <w:rFonts w:ascii="Calibri" w:hAnsi="Calibri" w:cs="Calibri"/>
        </w:rPr>
      </w:pPr>
      <w:r>
        <w:rPr>
          <w:rFonts w:ascii="Calibri" w:hAnsi="Calibri" w:cs="Calibri"/>
        </w:rPr>
        <w:t>2.4</w:t>
      </w:r>
      <w:r>
        <w:rPr>
          <w:rFonts w:ascii="Calibri" w:hAnsi="Calibri" w:cs="Calibri"/>
        </w:rPr>
        <w:tab/>
        <w:t xml:space="preserve">Note, however, that the </w:t>
      </w:r>
      <w:r w:rsidR="00157C12">
        <w:rPr>
          <w:rFonts w:ascii="Calibri" w:hAnsi="Calibri" w:cs="Calibri"/>
        </w:rPr>
        <w:t xml:space="preserve">definition of “pension scheme” in the IORP II Directive, in the French language version, </w:t>
      </w:r>
      <w:r w:rsidR="00A04440">
        <w:rPr>
          <w:rFonts w:ascii="Calibri" w:hAnsi="Calibri" w:cs="Calibri"/>
        </w:rPr>
        <w:t>is</w:t>
      </w:r>
      <w:r w:rsidR="00157C12">
        <w:rPr>
          <w:rFonts w:ascii="Calibri" w:hAnsi="Calibri" w:cs="Calibri"/>
        </w:rPr>
        <w:t xml:space="preserve"> “</w:t>
      </w:r>
      <w:r w:rsidR="00BE7C0B" w:rsidRPr="007D1CA5">
        <w:rPr>
          <w:rFonts w:ascii="Calibri" w:hAnsi="Calibri" w:cs="Calibri"/>
          <w:i/>
          <w:iCs/>
        </w:rPr>
        <w:t xml:space="preserve">régime </w:t>
      </w:r>
      <w:r w:rsidR="00157C12" w:rsidRPr="007D1CA5">
        <w:rPr>
          <w:rFonts w:ascii="Calibri" w:hAnsi="Calibri" w:cs="Calibri"/>
          <w:i/>
          <w:iCs/>
        </w:rPr>
        <w:t>de retraite</w:t>
      </w:r>
      <w:r w:rsidR="00157C12">
        <w:rPr>
          <w:rFonts w:ascii="Calibri" w:hAnsi="Calibri" w:cs="Calibri"/>
        </w:rPr>
        <w:t>”</w:t>
      </w:r>
      <w:r w:rsidR="00BE7C0B">
        <w:rPr>
          <w:rFonts w:ascii="Calibri" w:hAnsi="Calibri" w:cs="Calibri"/>
        </w:rPr>
        <w:t>.</w:t>
      </w:r>
    </w:p>
    <w:p w14:paraId="10CDBB98" w14:textId="21CC8B27" w:rsidR="00C30F53" w:rsidRPr="00235FF4" w:rsidRDefault="00C30F53" w:rsidP="00AE044C">
      <w:pPr>
        <w:jc w:val="both"/>
        <w:rPr>
          <w:rFonts w:ascii="Calibri" w:hAnsi="Calibri" w:cs="Calibri"/>
          <w:b/>
          <w:bCs/>
          <w:u w:val="single"/>
        </w:rPr>
      </w:pPr>
      <w:r w:rsidRPr="00235FF4">
        <w:rPr>
          <w:rFonts w:ascii="Calibri" w:hAnsi="Calibri" w:cs="Calibri"/>
          <w:b/>
          <w:bCs/>
        </w:rPr>
        <w:t>3</w:t>
      </w:r>
      <w:r w:rsidRPr="00235FF4">
        <w:rPr>
          <w:rFonts w:ascii="Calibri" w:hAnsi="Calibri" w:cs="Calibri"/>
          <w:b/>
          <w:bCs/>
        </w:rPr>
        <w:tab/>
      </w:r>
      <w:r w:rsidR="003F701D" w:rsidRPr="00235FF4">
        <w:rPr>
          <w:rFonts w:ascii="Calibri" w:hAnsi="Calibri" w:cs="Calibri"/>
          <w:b/>
          <w:bCs/>
          <w:u w:val="single"/>
        </w:rPr>
        <w:t>IORPs and the IORP Directives</w:t>
      </w:r>
    </w:p>
    <w:p w14:paraId="75CA0A6F" w14:textId="12704740" w:rsidR="003F701D" w:rsidRPr="00235FF4" w:rsidRDefault="003F701D" w:rsidP="00AE044C">
      <w:pPr>
        <w:ind w:left="1440" w:hanging="720"/>
        <w:jc w:val="both"/>
        <w:rPr>
          <w:rFonts w:ascii="Calibri" w:hAnsi="Calibri" w:cs="Calibri"/>
        </w:rPr>
      </w:pPr>
      <w:r w:rsidRPr="00235FF4">
        <w:rPr>
          <w:rFonts w:ascii="Calibri" w:hAnsi="Calibri" w:cs="Calibri"/>
        </w:rPr>
        <w:t>3.1</w:t>
      </w:r>
      <w:r w:rsidRPr="00235FF4">
        <w:rPr>
          <w:rFonts w:ascii="Calibri" w:hAnsi="Calibri" w:cs="Calibri"/>
        </w:rPr>
        <w:tab/>
        <w:t>The term “</w:t>
      </w:r>
      <w:r w:rsidRPr="00235FF4">
        <w:rPr>
          <w:rFonts w:ascii="Calibri" w:hAnsi="Calibri" w:cs="Calibri"/>
          <w:b/>
          <w:bCs/>
        </w:rPr>
        <w:t>IORP</w:t>
      </w:r>
      <w:r w:rsidRPr="00235FF4">
        <w:rPr>
          <w:rFonts w:ascii="Calibri" w:hAnsi="Calibri" w:cs="Calibri"/>
        </w:rPr>
        <w:t xml:space="preserve">” </w:t>
      </w:r>
      <w:r w:rsidR="00082595" w:rsidRPr="00235FF4">
        <w:rPr>
          <w:rFonts w:ascii="Calibri" w:hAnsi="Calibri" w:cs="Calibri"/>
        </w:rPr>
        <w:t xml:space="preserve">or “institution for occupational retirement provision” comes from an  EU Directive (the </w:t>
      </w:r>
      <w:r w:rsidR="00C15960" w:rsidRPr="00235FF4">
        <w:rPr>
          <w:rFonts w:ascii="Calibri" w:hAnsi="Calibri" w:cs="Calibri"/>
        </w:rPr>
        <w:t>“</w:t>
      </w:r>
      <w:r w:rsidR="00082595" w:rsidRPr="00235FF4">
        <w:rPr>
          <w:rFonts w:ascii="Calibri" w:hAnsi="Calibri" w:cs="Calibri"/>
          <w:b/>
          <w:bCs/>
        </w:rPr>
        <w:t>IORP I Directive</w:t>
      </w:r>
      <w:r w:rsidR="00082595" w:rsidRPr="00235FF4">
        <w:rPr>
          <w:rFonts w:ascii="Calibri" w:hAnsi="Calibri" w:cs="Calibri"/>
        </w:rPr>
        <w:t>”) as consolidated and replaced by the IORP II Directive</w:t>
      </w:r>
      <w:r w:rsidR="00AE0302">
        <w:rPr>
          <w:rStyle w:val="FootnoteReference"/>
          <w:rFonts w:ascii="Calibri" w:hAnsi="Calibri" w:cs="Calibri"/>
        </w:rPr>
        <w:footnoteReference w:id="6"/>
      </w:r>
      <w:r w:rsidR="00082595" w:rsidRPr="00235FF4">
        <w:rPr>
          <w:rFonts w:ascii="Calibri" w:hAnsi="Calibri" w:cs="Calibri"/>
        </w:rPr>
        <w:t>.</w:t>
      </w:r>
    </w:p>
    <w:p w14:paraId="2535D900" w14:textId="58A4F616" w:rsidR="00082595" w:rsidRPr="00235FF4" w:rsidRDefault="00082595" w:rsidP="00AE044C">
      <w:pPr>
        <w:ind w:left="1440" w:hanging="720"/>
        <w:jc w:val="both"/>
        <w:rPr>
          <w:rFonts w:ascii="Calibri" w:hAnsi="Calibri" w:cs="Calibri"/>
        </w:rPr>
      </w:pPr>
      <w:r w:rsidRPr="00235FF4">
        <w:rPr>
          <w:rFonts w:ascii="Calibri" w:hAnsi="Calibri" w:cs="Calibri"/>
        </w:rPr>
        <w:t>3.2</w:t>
      </w:r>
      <w:r w:rsidRPr="00235FF4">
        <w:rPr>
          <w:rFonts w:ascii="Calibri" w:hAnsi="Calibri" w:cs="Calibri"/>
        </w:rPr>
        <w:tab/>
        <w:t>A</w:t>
      </w:r>
      <w:r w:rsidR="00924711" w:rsidRPr="00235FF4">
        <w:rPr>
          <w:rFonts w:ascii="Calibri" w:hAnsi="Calibri" w:cs="Calibri"/>
        </w:rPr>
        <w:t>n EU Directive is a directive to Member States of the European Union to transpose the requirements of th</w:t>
      </w:r>
      <w:r w:rsidR="00B84B04" w:rsidRPr="00235FF4">
        <w:rPr>
          <w:rFonts w:ascii="Calibri" w:hAnsi="Calibri" w:cs="Calibri"/>
        </w:rPr>
        <w:t>at</w:t>
      </w:r>
      <w:r w:rsidR="00924711" w:rsidRPr="00235FF4">
        <w:rPr>
          <w:rFonts w:ascii="Calibri" w:hAnsi="Calibri" w:cs="Calibri"/>
        </w:rPr>
        <w:t xml:space="preserve"> Directive into </w:t>
      </w:r>
      <w:r w:rsidR="00AE044C" w:rsidRPr="00235FF4">
        <w:rPr>
          <w:rFonts w:ascii="Calibri" w:hAnsi="Calibri" w:cs="Calibri"/>
        </w:rPr>
        <w:t>their national legislation.</w:t>
      </w:r>
    </w:p>
    <w:p w14:paraId="6DE45C52" w14:textId="099BA84D" w:rsidR="005B5839" w:rsidRDefault="00AE044C" w:rsidP="00AE044C">
      <w:pPr>
        <w:ind w:left="1440" w:hanging="720"/>
        <w:jc w:val="both"/>
        <w:rPr>
          <w:rFonts w:ascii="Calibri" w:hAnsi="Calibri" w:cs="Calibri"/>
        </w:rPr>
      </w:pPr>
      <w:r w:rsidRPr="00235FF4">
        <w:rPr>
          <w:rFonts w:ascii="Calibri" w:hAnsi="Calibri" w:cs="Calibri"/>
        </w:rPr>
        <w:t>3.3</w:t>
      </w:r>
      <w:r w:rsidRPr="00235FF4">
        <w:rPr>
          <w:rFonts w:ascii="Calibri" w:hAnsi="Calibri" w:cs="Calibri"/>
        </w:rPr>
        <w:tab/>
        <w:t>However, in essence, any funded</w:t>
      </w:r>
      <w:r w:rsidR="00ED45FB">
        <w:rPr>
          <w:rFonts w:ascii="Calibri" w:hAnsi="Calibri" w:cs="Calibri"/>
        </w:rPr>
        <w:t xml:space="preserve"> occupational</w:t>
      </w:r>
      <w:r w:rsidRPr="00235FF4">
        <w:rPr>
          <w:rFonts w:ascii="Calibri" w:hAnsi="Calibri" w:cs="Calibri"/>
        </w:rPr>
        <w:t xml:space="preserve"> pension scheme (whether DB or DC) which is in </w:t>
      </w:r>
      <w:r w:rsidR="00B84B04" w:rsidRPr="00235FF4">
        <w:rPr>
          <w:rFonts w:ascii="Calibri" w:hAnsi="Calibri" w:cs="Calibri"/>
        </w:rPr>
        <w:t>Pilla</w:t>
      </w:r>
      <w:r w:rsidR="00B7290B" w:rsidRPr="00235FF4">
        <w:rPr>
          <w:rFonts w:ascii="Calibri" w:hAnsi="Calibri" w:cs="Calibri"/>
        </w:rPr>
        <w:t xml:space="preserve">r </w:t>
      </w:r>
      <w:r w:rsidRPr="00235FF4">
        <w:rPr>
          <w:rFonts w:ascii="Calibri" w:hAnsi="Calibri" w:cs="Calibri"/>
        </w:rPr>
        <w:t>2 (</w:t>
      </w:r>
      <w:r w:rsidR="00B7290B" w:rsidRPr="00235FF4">
        <w:rPr>
          <w:rFonts w:ascii="Calibri" w:hAnsi="Calibri" w:cs="Calibri"/>
        </w:rPr>
        <w:t>Pillar</w:t>
      </w:r>
      <w:r w:rsidRPr="00235FF4">
        <w:rPr>
          <w:rFonts w:ascii="Calibri" w:hAnsi="Calibri" w:cs="Calibri"/>
        </w:rPr>
        <w:t xml:space="preserve"> 3 for France in the terminology used in this paper)</w:t>
      </w:r>
      <w:r w:rsidR="00FA604C">
        <w:rPr>
          <w:rFonts w:ascii="Calibri" w:hAnsi="Calibri" w:cs="Calibri"/>
        </w:rPr>
        <w:t xml:space="preserve"> would fall within the definition of “institution for </w:t>
      </w:r>
      <w:r w:rsidR="002F5729">
        <w:rPr>
          <w:rFonts w:ascii="Calibri" w:hAnsi="Calibri" w:cs="Calibri"/>
        </w:rPr>
        <w:t>occupational</w:t>
      </w:r>
      <w:r w:rsidR="00FA604C">
        <w:rPr>
          <w:rFonts w:ascii="Calibri" w:hAnsi="Calibri" w:cs="Calibri"/>
        </w:rPr>
        <w:t xml:space="preserve"> retirement provis</w:t>
      </w:r>
      <w:r w:rsidR="0082216A">
        <w:rPr>
          <w:rFonts w:ascii="Calibri" w:hAnsi="Calibri" w:cs="Calibri"/>
        </w:rPr>
        <w:t>ion”</w:t>
      </w:r>
      <w:r w:rsidR="0082216A">
        <w:rPr>
          <w:rStyle w:val="FootnoteReference"/>
          <w:rFonts w:ascii="Calibri" w:hAnsi="Calibri" w:cs="Calibri"/>
        </w:rPr>
        <w:footnoteReference w:id="7"/>
      </w:r>
      <w:r w:rsidR="00204A62">
        <w:rPr>
          <w:rFonts w:ascii="Calibri" w:hAnsi="Calibri" w:cs="Calibri"/>
        </w:rPr>
        <w:t xml:space="preserve"> or </w:t>
      </w:r>
      <w:r w:rsidR="00204A62">
        <w:rPr>
          <w:rFonts w:ascii="Calibri" w:hAnsi="Calibri" w:cs="Calibri"/>
        </w:rPr>
        <w:lastRenderedPageBreak/>
        <w:t>“IORP”</w:t>
      </w:r>
      <w:r w:rsidR="0031186F">
        <w:rPr>
          <w:rFonts w:ascii="Calibri" w:hAnsi="Calibri" w:cs="Calibri"/>
        </w:rPr>
        <w:t xml:space="preserve"> (but see</w:t>
      </w:r>
      <w:r w:rsidR="0031186F" w:rsidRPr="00E84495">
        <w:rPr>
          <w:rFonts w:ascii="Calibri" w:hAnsi="Calibri" w:cs="Calibri"/>
          <w:b/>
          <w:bCs/>
        </w:rPr>
        <w:t xml:space="preserve"> </w:t>
      </w:r>
      <w:r w:rsidR="00610751" w:rsidRPr="00E84495">
        <w:rPr>
          <w:rFonts w:ascii="Calibri" w:hAnsi="Calibri" w:cs="Calibri"/>
          <w:b/>
          <w:bCs/>
        </w:rPr>
        <w:t>3.7</w:t>
      </w:r>
      <w:r w:rsidR="00610751">
        <w:rPr>
          <w:rFonts w:ascii="Calibri" w:hAnsi="Calibri" w:cs="Calibri"/>
        </w:rPr>
        <w:t xml:space="preserve"> below as to the</w:t>
      </w:r>
      <w:r w:rsidR="006C719F">
        <w:rPr>
          <w:rFonts w:ascii="Calibri" w:hAnsi="Calibri" w:cs="Calibri"/>
        </w:rPr>
        <w:t xml:space="preserve"> regulatory distinction</w:t>
      </w:r>
      <w:r w:rsidR="00610751">
        <w:rPr>
          <w:rFonts w:ascii="Calibri" w:hAnsi="Calibri" w:cs="Calibri"/>
        </w:rPr>
        <w:t xml:space="preserve"> between a pension scheme provided by an IORP and </w:t>
      </w:r>
      <w:r w:rsidR="00CF5B39">
        <w:rPr>
          <w:rFonts w:ascii="Calibri" w:hAnsi="Calibri" w:cs="Calibri"/>
        </w:rPr>
        <w:t>the occupational retirement or annuity business of</w:t>
      </w:r>
      <w:r w:rsidR="00E84495">
        <w:rPr>
          <w:rFonts w:ascii="Calibri" w:hAnsi="Calibri" w:cs="Calibri"/>
        </w:rPr>
        <w:t xml:space="preserve"> an insurance company). </w:t>
      </w:r>
    </w:p>
    <w:p w14:paraId="2C345307" w14:textId="083F07FF" w:rsidR="00E40E3C" w:rsidRPr="00235FF4" w:rsidRDefault="005B5839" w:rsidP="00AE044C">
      <w:pPr>
        <w:ind w:left="1440" w:hanging="720"/>
        <w:jc w:val="both"/>
        <w:rPr>
          <w:rFonts w:ascii="Calibri" w:hAnsi="Calibri" w:cs="Calibri"/>
        </w:rPr>
      </w:pPr>
      <w:r>
        <w:rPr>
          <w:rFonts w:ascii="Calibri" w:hAnsi="Calibri" w:cs="Calibri"/>
        </w:rPr>
        <w:t>3.4</w:t>
      </w:r>
      <w:r>
        <w:rPr>
          <w:rFonts w:ascii="Calibri" w:hAnsi="Calibri" w:cs="Calibri"/>
        </w:rPr>
        <w:tab/>
      </w:r>
      <w:r w:rsidR="00AE044C" w:rsidRPr="00235FF4">
        <w:rPr>
          <w:rFonts w:ascii="Calibri" w:hAnsi="Calibri" w:cs="Calibri"/>
        </w:rPr>
        <w:t xml:space="preserve">The </w:t>
      </w:r>
      <w:r w:rsidR="00EB27BF" w:rsidRPr="00235FF4">
        <w:rPr>
          <w:rFonts w:ascii="Calibri" w:hAnsi="Calibri" w:cs="Calibri"/>
        </w:rPr>
        <w:t xml:space="preserve">principal </w:t>
      </w:r>
      <w:r w:rsidR="00AE044C" w:rsidRPr="00235FF4">
        <w:rPr>
          <w:rFonts w:ascii="Calibri" w:hAnsi="Calibri" w:cs="Calibri"/>
        </w:rPr>
        <w:t>aim</w:t>
      </w:r>
      <w:r w:rsidR="00EB27BF" w:rsidRPr="00235FF4">
        <w:rPr>
          <w:rFonts w:ascii="Calibri" w:hAnsi="Calibri" w:cs="Calibri"/>
        </w:rPr>
        <w:t>s</w:t>
      </w:r>
      <w:r w:rsidR="00AE044C" w:rsidRPr="00235FF4">
        <w:rPr>
          <w:rFonts w:ascii="Calibri" w:hAnsi="Calibri" w:cs="Calibri"/>
        </w:rPr>
        <w:t xml:space="preserve"> of the IORP I Directive (and now in the IORP II Directive) </w:t>
      </w:r>
      <w:r w:rsidR="00EB27BF" w:rsidRPr="00235FF4">
        <w:rPr>
          <w:rFonts w:ascii="Calibri" w:hAnsi="Calibri" w:cs="Calibri"/>
        </w:rPr>
        <w:t xml:space="preserve">can be </w:t>
      </w:r>
      <w:r w:rsidR="00E40E3C" w:rsidRPr="00235FF4">
        <w:rPr>
          <w:rFonts w:ascii="Calibri" w:hAnsi="Calibri" w:cs="Calibri"/>
        </w:rPr>
        <w:t>summarised as:</w:t>
      </w:r>
    </w:p>
    <w:p w14:paraId="7EE4F163" w14:textId="77777777" w:rsidR="00E40E3C" w:rsidRPr="00235FF4" w:rsidRDefault="000D2CFC" w:rsidP="00E40E3C">
      <w:pPr>
        <w:pStyle w:val="ListParagraph"/>
        <w:numPr>
          <w:ilvl w:val="0"/>
          <w:numId w:val="2"/>
        </w:numPr>
        <w:jc w:val="both"/>
        <w:rPr>
          <w:rFonts w:ascii="Calibri" w:hAnsi="Calibri" w:cs="Calibri"/>
        </w:rPr>
      </w:pPr>
      <w:r w:rsidRPr="00235FF4">
        <w:rPr>
          <w:rFonts w:ascii="Calibri" w:hAnsi="Calibri" w:cs="Calibri"/>
        </w:rPr>
        <w:t xml:space="preserve">to create a minimum harmonised set of rules regulating </w:t>
      </w:r>
      <w:r w:rsidRPr="007D3D00">
        <w:rPr>
          <w:rFonts w:ascii="Calibri" w:hAnsi="Calibri" w:cs="Calibri"/>
          <w:b/>
          <w:bCs/>
        </w:rPr>
        <w:t>funded</w:t>
      </w:r>
      <w:r w:rsidRPr="00235FF4">
        <w:rPr>
          <w:rFonts w:ascii="Calibri" w:hAnsi="Calibri" w:cs="Calibri"/>
        </w:rPr>
        <w:t xml:space="preserve"> </w:t>
      </w:r>
      <w:r w:rsidR="00B7290B" w:rsidRPr="00235FF4">
        <w:rPr>
          <w:rFonts w:ascii="Calibri" w:hAnsi="Calibri" w:cs="Calibri"/>
        </w:rPr>
        <w:t>Pillar</w:t>
      </w:r>
      <w:r w:rsidRPr="00235FF4">
        <w:rPr>
          <w:rFonts w:ascii="Calibri" w:hAnsi="Calibri" w:cs="Calibri"/>
        </w:rPr>
        <w:t xml:space="preserve"> 2 occupational pension schemes.  </w:t>
      </w:r>
    </w:p>
    <w:p w14:paraId="04612AE3" w14:textId="61B91716" w:rsidR="000E2BD3" w:rsidRDefault="00E40E3C" w:rsidP="00E40E3C">
      <w:pPr>
        <w:pStyle w:val="ListParagraph"/>
        <w:numPr>
          <w:ilvl w:val="0"/>
          <w:numId w:val="2"/>
        </w:numPr>
        <w:jc w:val="both"/>
        <w:rPr>
          <w:rFonts w:ascii="Calibri" w:hAnsi="Calibri" w:cs="Calibri"/>
        </w:rPr>
      </w:pPr>
      <w:r w:rsidRPr="00235FF4">
        <w:rPr>
          <w:rFonts w:ascii="Calibri" w:hAnsi="Calibri" w:cs="Calibri"/>
        </w:rPr>
        <w:t xml:space="preserve">to </w:t>
      </w:r>
      <w:r w:rsidR="007254E9" w:rsidRPr="00235FF4">
        <w:rPr>
          <w:rFonts w:ascii="Calibri" w:hAnsi="Calibri" w:cs="Calibri"/>
        </w:rPr>
        <w:t>permi</w:t>
      </w:r>
      <w:r w:rsidRPr="00235FF4">
        <w:rPr>
          <w:rFonts w:ascii="Calibri" w:hAnsi="Calibri" w:cs="Calibri"/>
        </w:rPr>
        <w:t>t</w:t>
      </w:r>
      <w:r w:rsidR="007254E9" w:rsidRPr="00235FF4">
        <w:rPr>
          <w:rFonts w:ascii="Calibri" w:hAnsi="Calibri" w:cs="Calibri"/>
        </w:rPr>
        <w:t xml:space="preserve"> the cross border (within the EU) investment of the assets of </w:t>
      </w:r>
      <w:r w:rsidR="00B16E28" w:rsidRPr="00235FF4">
        <w:rPr>
          <w:rFonts w:ascii="Calibri" w:hAnsi="Calibri" w:cs="Calibri"/>
        </w:rPr>
        <w:t>IORPs</w:t>
      </w:r>
      <w:r w:rsidR="00AD3AD5">
        <w:rPr>
          <w:rFonts w:ascii="Calibri" w:hAnsi="Calibri" w:cs="Calibri"/>
        </w:rPr>
        <w:t xml:space="preserve">- so removing, for example, restrictions on investing in </w:t>
      </w:r>
      <w:r w:rsidR="00092931">
        <w:rPr>
          <w:rFonts w:ascii="Calibri" w:hAnsi="Calibri" w:cs="Calibri"/>
        </w:rPr>
        <w:t>shares and bonds issued by issuers in the same jurisdiction as that of the IORP.</w:t>
      </w:r>
    </w:p>
    <w:p w14:paraId="3D6BECB7" w14:textId="503819E8" w:rsidR="00DE588B" w:rsidRPr="00235FF4" w:rsidRDefault="004D5E38" w:rsidP="00E40E3C">
      <w:pPr>
        <w:pStyle w:val="ListParagraph"/>
        <w:numPr>
          <w:ilvl w:val="0"/>
          <w:numId w:val="2"/>
        </w:numPr>
        <w:jc w:val="both"/>
        <w:rPr>
          <w:rFonts w:ascii="Calibri" w:hAnsi="Calibri" w:cs="Calibri"/>
        </w:rPr>
      </w:pPr>
      <w:r w:rsidRPr="00235FF4">
        <w:rPr>
          <w:rFonts w:ascii="Calibri" w:hAnsi="Calibri" w:cs="Calibri"/>
        </w:rPr>
        <w:t xml:space="preserve">to permit an IORP to </w:t>
      </w:r>
      <w:r w:rsidR="00B16E28" w:rsidRPr="00235FF4">
        <w:rPr>
          <w:rFonts w:ascii="Calibri" w:hAnsi="Calibri" w:cs="Calibri"/>
        </w:rPr>
        <w:t>appoin</w:t>
      </w:r>
      <w:r w:rsidR="00A85804" w:rsidRPr="00235FF4">
        <w:rPr>
          <w:rFonts w:ascii="Calibri" w:hAnsi="Calibri" w:cs="Calibri"/>
        </w:rPr>
        <w:t>t</w:t>
      </w:r>
      <w:r w:rsidR="00B16E28" w:rsidRPr="00235FF4">
        <w:rPr>
          <w:rFonts w:ascii="Calibri" w:hAnsi="Calibri" w:cs="Calibri"/>
        </w:rPr>
        <w:t xml:space="preserve"> investment managers and</w:t>
      </w:r>
      <w:r w:rsidR="000E2BD3">
        <w:rPr>
          <w:rFonts w:ascii="Calibri" w:hAnsi="Calibri" w:cs="Calibri"/>
        </w:rPr>
        <w:t xml:space="preserve"> depositaries/</w:t>
      </w:r>
      <w:r w:rsidR="00B16E28" w:rsidRPr="00235FF4">
        <w:rPr>
          <w:rFonts w:ascii="Calibri" w:hAnsi="Calibri" w:cs="Calibri"/>
        </w:rPr>
        <w:t>custodians</w:t>
      </w:r>
      <w:r w:rsidR="005B5FF2">
        <w:rPr>
          <w:rFonts w:ascii="Calibri" w:hAnsi="Calibri" w:cs="Calibri"/>
        </w:rPr>
        <w:t xml:space="preserve"> who </w:t>
      </w:r>
      <w:r w:rsidR="00B16E28" w:rsidRPr="00235FF4">
        <w:rPr>
          <w:rFonts w:ascii="Calibri" w:hAnsi="Calibri" w:cs="Calibri"/>
        </w:rPr>
        <w:t xml:space="preserve">may be established in </w:t>
      </w:r>
      <w:r w:rsidR="00A85804" w:rsidRPr="00235FF4">
        <w:rPr>
          <w:rFonts w:ascii="Calibri" w:hAnsi="Calibri" w:cs="Calibri"/>
        </w:rPr>
        <w:t xml:space="preserve">a </w:t>
      </w:r>
      <w:r w:rsidR="00B16E28" w:rsidRPr="00235FF4">
        <w:rPr>
          <w:rFonts w:ascii="Calibri" w:hAnsi="Calibri" w:cs="Calibri"/>
        </w:rPr>
        <w:t>differen</w:t>
      </w:r>
      <w:r w:rsidR="00A85804" w:rsidRPr="00235FF4">
        <w:rPr>
          <w:rFonts w:ascii="Calibri" w:hAnsi="Calibri" w:cs="Calibri"/>
        </w:rPr>
        <w:t>t EU Member State</w:t>
      </w:r>
      <w:r w:rsidR="00B16E28" w:rsidRPr="00235FF4">
        <w:rPr>
          <w:rFonts w:ascii="Calibri" w:hAnsi="Calibri" w:cs="Calibri"/>
        </w:rPr>
        <w:t xml:space="preserve"> to th</w:t>
      </w:r>
      <w:r w:rsidR="005B5FF2">
        <w:rPr>
          <w:rFonts w:ascii="Calibri" w:hAnsi="Calibri" w:cs="Calibri"/>
        </w:rPr>
        <w:t>at</w:t>
      </w:r>
      <w:r w:rsidR="00B16E28" w:rsidRPr="00235FF4">
        <w:rPr>
          <w:rFonts w:ascii="Calibri" w:hAnsi="Calibri" w:cs="Calibri"/>
        </w:rPr>
        <w:t xml:space="preserve"> of the </w:t>
      </w:r>
      <w:r w:rsidR="00FF5405" w:rsidRPr="00235FF4">
        <w:rPr>
          <w:rFonts w:ascii="Calibri" w:hAnsi="Calibri" w:cs="Calibri"/>
        </w:rPr>
        <w:t xml:space="preserve">Member State </w:t>
      </w:r>
      <w:r w:rsidR="00B16E28" w:rsidRPr="00235FF4">
        <w:rPr>
          <w:rFonts w:ascii="Calibri" w:hAnsi="Calibri" w:cs="Calibri"/>
        </w:rPr>
        <w:t xml:space="preserve">in which the IORP is established. </w:t>
      </w:r>
    </w:p>
    <w:p w14:paraId="46433A64" w14:textId="30B8146E" w:rsidR="00AE044C" w:rsidRPr="00235FF4" w:rsidRDefault="00DE588B" w:rsidP="00E40E3C">
      <w:pPr>
        <w:pStyle w:val="ListParagraph"/>
        <w:numPr>
          <w:ilvl w:val="0"/>
          <w:numId w:val="2"/>
        </w:numPr>
        <w:jc w:val="both"/>
        <w:rPr>
          <w:rFonts w:ascii="Calibri" w:hAnsi="Calibri" w:cs="Calibri"/>
        </w:rPr>
      </w:pPr>
      <w:r w:rsidRPr="00235FF4">
        <w:rPr>
          <w:rFonts w:ascii="Calibri" w:hAnsi="Calibri" w:cs="Calibri"/>
        </w:rPr>
        <w:t>to permit</w:t>
      </w:r>
      <w:r w:rsidR="007D0E59" w:rsidRPr="00235FF4">
        <w:rPr>
          <w:rFonts w:ascii="Calibri" w:hAnsi="Calibri" w:cs="Calibri"/>
        </w:rPr>
        <w:t xml:space="preserve"> an IORP established in one Member State to offer pension scheme services to employers and employees in another Member State (cross border pension provisions).</w:t>
      </w:r>
    </w:p>
    <w:p w14:paraId="58A3B354" w14:textId="2E822931" w:rsidR="007D0E59" w:rsidRPr="00235FF4" w:rsidRDefault="00527893" w:rsidP="00AE044C">
      <w:pPr>
        <w:ind w:left="1440" w:hanging="720"/>
        <w:jc w:val="both"/>
        <w:rPr>
          <w:rFonts w:ascii="Calibri" w:hAnsi="Calibri" w:cs="Calibri"/>
        </w:rPr>
      </w:pPr>
      <w:r w:rsidRPr="00235FF4">
        <w:rPr>
          <w:rFonts w:ascii="Calibri" w:hAnsi="Calibri" w:cs="Calibri"/>
        </w:rPr>
        <w:t>3.</w:t>
      </w:r>
      <w:r w:rsidR="000E2BD3">
        <w:rPr>
          <w:rFonts w:ascii="Calibri" w:hAnsi="Calibri" w:cs="Calibri"/>
        </w:rPr>
        <w:t>5</w:t>
      </w:r>
      <w:r w:rsidRPr="00235FF4">
        <w:rPr>
          <w:rFonts w:ascii="Calibri" w:hAnsi="Calibri" w:cs="Calibri"/>
        </w:rPr>
        <w:tab/>
        <w:t>T</w:t>
      </w:r>
      <w:r w:rsidR="001776DC" w:rsidRPr="00235FF4">
        <w:rPr>
          <w:rFonts w:ascii="Calibri" w:hAnsi="Calibri" w:cs="Calibri"/>
        </w:rPr>
        <w:t>he</w:t>
      </w:r>
      <w:r w:rsidRPr="00235FF4">
        <w:rPr>
          <w:rFonts w:ascii="Calibri" w:hAnsi="Calibri" w:cs="Calibri"/>
        </w:rPr>
        <w:t xml:space="preserve"> IORP </w:t>
      </w:r>
      <w:r w:rsidR="007A50BF">
        <w:rPr>
          <w:rFonts w:ascii="Calibri" w:hAnsi="Calibri" w:cs="Calibri"/>
        </w:rPr>
        <w:t xml:space="preserve">II </w:t>
      </w:r>
      <w:r w:rsidRPr="00235FF4">
        <w:rPr>
          <w:rFonts w:ascii="Calibri" w:hAnsi="Calibri" w:cs="Calibri"/>
        </w:rPr>
        <w:t>Directive</w:t>
      </w:r>
      <w:r w:rsidR="007A50BF">
        <w:rPr>
          <w:rFonts w:ascii="Calibri" w:hAnsi="Calibri" w:cs="Calibri"/>
        </w:rPr>
        <w:t>:</w:t>
      </w:r>
    </w:p>
    <w:p w14:paraId="5948802B" w14:textId="18BEA0C1" w:rsidR="00527893" w:rsidRPr="00235FF4" w:rsidRDefault="00527893" w:rsidP="00CB53C0">
      <w:pPr>
        <w:pStyle w:val="ListParagraph"/>
        <w:numPr>
          <w:ilvl w:val="0"/>
          <w:numId w:val="2"/>
        </w:numPr>
        <w:ind w:left="1800"/>
        <w:jc w:val="both"/>
        <w:rPr>
          <w:rFonts w:ascii="Calibri" w:hAnsi="Calibri" w:cs="Calibri"/>
        </w:rPr>
      </w:pPr>
      <w:r w:rsidRPr="00235FF4">
        <w:rPr>
          <w:rFonts w:ascii="Calibri" w:hAnsi="Calibri" w:cs="Calibri"/>
        </w:rPr>
        <w:t>d</w:t>
      </w:r>
      <w:r w:rsidR="007A50BF">
        <w:rPr>
          <w:rFonts w:ascii="Calibri" w:hAnsi="Calibri" w:cs="Calibri"/>
        </w:rPr>
        <w:t>oes</w:t>
      </w:r>
      <w:r w:rsidRPr="00235FF4">
        <w:rPr>
          <w:rFonts w:ascii="Calibri" w:hAnsi="Calibri" w:cs="Calibri"/>
        </w:rPr>
        <w:t xml:space="preserve"> not apply to unfunded </w:t>
      </w:r>
      <w:r w:rsidR="005741FB" w:rsidRPr="00235FF4">
        <w:rPr>
          <w:rFonts w:ascii="Calibri" w:hAnsi="Calibri" w:cs="Calibri"/>
        </w:rPr>
        <w:t>Pillar</w:t>
      </w:r>
      <w:r w:rsidRPr="00235FF4">
        <w:rPr>
          <w:rFonts w:ascii="Calibri" w:hAnsi="Calibri" w:cs="Calibri"/>
        </w:rPr>
        <w:t xml:space="preserve"> 2 pension schemes, and</w:t>
      </w:r>
    </w:p>
    <w:p w14:paraId="61AFD6EB" w14:textId="02ADC67C" w:rsidR="00527893" w:rsidRPr="00235FF4" w:rsidRDefault="00CB53C0" w:rsidP="00CB53C0">
      <w:pPr>
        <w:pStyle w:val="ListParagraph"/>
        <w:numPr>
          <w:ilvl w:val="0"/>
          <w:numId w:val="2"/>
        </w:numPr>
        <w:ind w:left="1800"/>
        <w:jc w:val="both"/>
        <w:rPr>
          <w:rFonts w:ascii="Calibri" w:hAnsi="Calibri" w:cs="Calibri"/>
        </w:rPr>
      </w:pPr>
      <w:r w:rsidRPr="00235FF4">
        <w:rPr>
          <w:rFonts w:ascii="Calibri" w:hAnsi="Calibri" w:cs="Calibri"/>
        </w:rPr>
        <w:t>do</w:t>
      </w:r>
      <w:r w:rsidR="007A50BF">
        <w:rPr>
          <w:rFonts w:ascii="Calibri" w:hAnsi="Calibri" w:cs="Calibri"/>
        </w:rPr>
        <w:t>es</w:t>
      </w:r>
      <w:r w:rsidRPr="00235FF4">
        <w:rPr>
          <w:rFonts w:ascii="Calibri" w:hAnsi="Calibri" w:cs="Calibri"/>
        </w:rPr>
        <w:t xml:space="preserve"> not apply to </w:t>
      </w:r>
      <w:r w:rsidR="005741FB" w:rsidRPr="00235FF4">
        <w:rPr>
          <w:rFonts w:ascii="Calibri" w:hAnsi="Calibri" w:cs="Calibri"/>
        </w:rPr>
        <w:t>Pillar</w:t>
      </w:r>
      <w:r w:rsidRPr="00235FF4">
        <w:rPr>
          <w:rFonts w:ascii="Calibri" w:hAnsi="Calibri" w:cs="Calibri"/>
        </w:rPr>
        <w:t xml:space="preserve"> 1 pension schemes.</w:t>
      </w:r>
      <w:r w:rsidR="00CB3A4B">
        <w:rPr>
          <w:rStyle w:val="FootnoteReference"/>
          <w:rFonts w:ascii="Calibri" w:hAnsi="Calibri" w:cs="Calibri"/>
        </w:rPr>
        <w:footnoteReference w:id="8"/>
      </w:r>
    </w:p>
    <w:p w14:paraId="135BCCC2" w14:textId="71DBD817" w:rsidR="002B6D3C" w:rsidRPr="0003519E" w:rsidRDefault="0003519E" w:rsidP="0003519E">
      <w:pPr>
        <w:ind w:left="1440" w:hanging="720"/>
        <w:jc w:val="both"/>
        <w:rPr>
          <w:rFonts w:ascii="Calibri" w:hAnsi="Calibri" w:cs="Calibri"/>
        </w:rPr>
      </w:pPr>
      <w:r>
        <w:rPr>
          <w:rFonts w:ascii="Calibri" w:hAnsi="Calibri" w:cs="Calibri"/>
        </w:rPr>
        <w:t>3.6</w:t>
      </w:r>
      <w:r>
        <w:rPr>
          <w:rFonts w:ascii="Calibri" w:hAnsi="Calibri" w:cs="Calibri"/>
        </w:rPr>
        <w:tab/>
      </w:r>
      <w:r w:rsidR="001D5233" w:rsidRPr="0003519E">
        <w:rPr>
          <w:rFonts w:ascii="Calibri" w:hAnsi="Calibri" w:cs="Calibri"/>
        </w:rPr>
        <w:t>Pillar</w:t>
      </w:r>
      <w:r w:rsidR="00CB53C0" w:rsidRPr="0003519E">
        <w:rPr>
          <w:rFonts w:ascii="Calibri" w:hAnsi="Calibri" w:cs="Calibri"/>
        </w:rPr>
        <w:t xml:space="preserve"> 2 pension schemes in France </w:t>
      </w:r>
      <w:r w:rsidR="00E90309" w:rsidRPr="0003519E">
        <w:rPr>
          <w:rFonts w:ascii="Calibri" w:hAnsi="Calibri" w:cs="Calibri"/>
        </w:rPr>
        <w:t xml:space="preserve">operate on a pay-as-you-go basis and so </w:t>
      </w:r>
      <w:r w:rsidR="00776FF3" w:rsidRPr="0003519E">
        <w:rPr>
          <w:rFonts w:ascii="Calibri" w:hAnsi="Calibri" w:cs="Calibri"/>
        </w:rPr>
        <w:t xml:space="preserve">are excluded from the scope of the IORP II Directive by Article 2(2)(c).  They also have features of a Pillar 1 </w:t>
      </w:r>
      <w:r w:rsidR="00CB53C0" w:rsidRPr="0003519E">
        <w:rPr>
          <w:rFonts w:ascii="Calibri" w:hAnsi="Calibri" w:cs="Calibri"/>
        </w:rPr>
        <w:t>social security schemes i</w:t>
      </w:r>
      <w:r w:rsidR="00776FF3" w:rsidRPr="0003519E">
        <w:rPr>
          <w:rFonts w:ascii="Calibri" w:hAnsi="Calibri" w:cs="Calibri"/>
        </w:rPr>
        <w:t>n th</w:t>
      </w:r>
      <w:r w:rsidR="003E52DD" w:rsidRPr="0003519E">
        <w:rPr>
          <w:rFonts w:ascii="Calibri" w:hAnsi="Calibri" w:cs="Calibri"/>
        </w:rPr>
        <w:t>at</w:t>
      </w:r>
      <w:r w:rsidR="00D80EDF" w:rsidRPr="0003519E">
        <w:rPr>
          <w:rFonts w:ascii="Calibri" w:hAnsi="Calibri" w:cs="Calibri"/>
        </w:rPr>
        <w:t>,</w:t>
      </w:r>
      <w:r w:rsidR="003E52DD" w:rsidRPr="0003519E">
        <w:rPr>
          <w:rFonts w:ascii="Calibri" w:hAnsi="Calibri" w:cs="Calibri"/>
        </w:rPr>
        <w:t xml:space="preserve"> if a worker works in a particular industry sector or profession, then the worker must join</w:t>
      </w:r>
      <w:r w:rsidR="000D22E8" w:rsidRPr="0003519E">
        <w:rPr>
          <w:rFonts w:ascii="Calibri" w:hAnsi="Calibri" w:cs="Calibri"/>
        </w:rPr>
        <w:t xml:space="preserve"> the pension scheme and the worker plus, where applicable, the worker’s employer, must pay compulsory contributions </w:t>
      </w:r>
      <w:r w:rsidR="007C5027" w:rsidRPr="0003519E">
        <w:rPr>
          <w:rFonts w:ascii="Calibri" w:hAnsi="Calibri" w:cs="Calibri"/>
        </w:rPr>
        <w:t>to that scheme.</w:t>
      </w:r>
    </w:p>
    <w:p w14:paraId="03D4801D" w14:textId="7C708B10" w:rsidR="009C26B2" w:rsidRDefault="004C0BC0" w:rsidP="004C0BC0">
      <w:pPr>
        <w:ind w:left="1440" w:hanging="720"/>
        <w:jc w:val="both"/>
        <w:rPr>
          <w:rFonts w:ascii="Calibri" w:hAnsi="Calibri" w:cs="Calibri"/>
        </w:rPr>
      </w:pPr>
      <w:r>
        <w:rPr>
          <w:rFonts w:ascii="Calibri" w:hAnsi="Calibri" w:cs="Calibri"/>
        </w:rPr>
        <w:t>3.7</w:t>
      </w:r>
      <w:r>
        <w:rPr>
          <w:rFonts w:ascii="Calibri" w:hAnsi="Calibri" w:cs="Calibri"/>
        </w:rPr>
        <w:tab/>
      </w:r>
      <w:r w:rsidR="003C4CAF">
        <w:rPr>
          <w:rFonts w:ascii="Calibri" w:hAnsi="Calibri" w:cs="Calibri"/>
        </w:rPr>
        <w:t>There</w:t>
      </w:r>
      <w:r w:rsidR="007C5027" w:rsidRPr="004C0BC0">
        <w:rPr>
          <w:rFonts w:ascii="Calibri" w:hAnsi="Calibri" w:cs="Calibri"/>
        </w:rPr>
        <w:t xml:space="preserve"> is </w:t>
      </w:r>
      <w:r w:rsidR="009E2532">
        <w:rPr>
          <w:rFonts w:ascii="Calibri" w:hAnsi="Calibri" w:cs="Calibri"/>
        </w:rPr>
        <w:t>a</w:t>
      </w:r>
      <w:r w:rsidR="003C4CAF">
        <w:rPr>
          <w:rFonts w:ascii="Calibri" w:hAnsi="Calibri" w:cs="Calibri"/>
        </w:rPr>
        <w:t xml:space="preserve">n important </w:t>
      </w:r>
      <w:r w:rsidR="009E2532">
        <w:rPr>
          <w:rFonts w:ascii="Calibri" w:hAnsi="Calibri" w:cs="Calibri"/>
        </w:rPr>
        <w:t>regulatory distinction drawn</w:t>
      </w:r>
      <w:r w:rsidR="009C26B2">
        <w:rPr>
          <w:rFonts w:ascii="Calibri" w:hAnsi="Calibri" w:cs="Calibri"/>
        </w:rPr>
        <w:t xml:space="preserve"> </w:t>
      </w:r>
      <w:r w:rsidR="00E76A34" w:rsidRPr="004C0BC0">
        <w:rPr>
          <w:rFonts w:ascii="Calibri" w:hAnsi="Calibri" w:cs="Calibri"/>
        </w:rPr>
        <w:t>between</w:t>
      </w:r>
    </w:p>
    <w:p w14:paraId="429F5D69" w14:textId="3BF3ECC8" w:rsidR="009C26B2" w:rsidRDefault="0012258C" w:rsidP="009C26B2">
      <w:pPr>
        <w:pStyle w:val="ListParagraph"/>
        <w:numPr>
          <w:ilvl w:val="0"/>
          <w:numId w:val="30"/>
        </w:numPr>
        <w:jc w:val="both"/>
        <w:rPr>
          <w:rFonts w:ascii="Calibri" w:hAnsi="Calibri" w:cs="Calibri"/>
        </w:rPr>
      </w:pPr>
      <w:r w:rsidRPr="009C26B2">
        <w:rPr>
          <w:rFonts w:ascii="Calibri" w:hAnsi="Calibri" w:cs="Calibri"/>
        </w:rPr>
        <w:t>providing</w:t>
      </w:r>
      <w:r w:rsidR="007C5027" w:rsidRPr="009C26B2">
        <w:rPr>
          <w:rFonts w:ascii="Calibri" w:hAnsi="Calibri" w:cs="Calibri"/>
        </w:rPr>
        <w:t xml:space="preserve"> </w:t>
      </w:r>
      <w:r w:rsidRPr="009C26B2">
        <w:rPr>
          <w:rFonts w:ascii="Calibri" w:hAnsi="Calibri" w:cs="Calibri"/>
        </w:rPr>
        <w:t>retirement benefits through an IORP</w:t>
      </w:r>
      <w:r w:rsidR="0084192E">
        <w:rPr>
          <w:rFonts w:ascii="Calibri" w:hAnsi="Calibri" w:cs="Calibri"/>
        </w:rPr>
        <w:t xml:space="preserve"> regulated by the IORP II Directive</w:t>
      </w:r>
      <w:r w:rsidR="00D67416" w:rsidRPr="009C26B2">
        <w:rPr>
          <w:rFonts w:ascii="Calibri" w:hAnsi="Calibri" w:cs="Calibri"/>
        </w:rPr>
        <w:t>,</w:t>
      </w:r>
      <w:r w:rsidRPr="009C26B2">
        <w:rPr>
          <w:rFonts w:ascii="Calibri" w:hAnsi="Calibri" w:cs="Calibri"/>
        </w:rPr>
        <w:t xml:space="preserve"> and</w:t>
      </w:r>
      <w:r w:rsidR="004F1B93" w:rsidRPr="009C26B2">
        <w:rPr>
          <w:rFonts w:ascii="Calibri" w:hAnsi="Calibri" w:cs="Calibri"/>
        </w:rPr>
        <w:t xml:space="preserve"> </w:t>
      </w:r>
    </w:p>
    <w:p w14:paraId="13563BC0" w14:textId="094B66C0" w:rsidR="00DC795E" w:rsidRDefault="0012258C" w:rsidP="009C26B2">
      <w:pPr>
        <w:pStyle w:val="ListParagraph"/>
        <w:numPr>
          <w:ilvl w:val="0"/>
          <w:numId w:val="30"/>
        </w:numPr>
        <w:jc w:val="both"/>
        <w:rPr>
          <w:rFonts w:ascii="Calibri" w:hAnsi="Calibri" w:cs="Calibri"/>
        </w:rPr>
      </w:pPr>
      <w:r w:rsidRPr="009C26B2">
        <w:rPr>
          <w:rFonts w:ascii="Calibri" w:hAnsi="Calibri" w:cs="Calibri"/>
        </w:rPr>
        <w:t>an insurance company</w:t>
      </w:r>
      <w:r w:rsidR="0084192E">
        <w:rPr>
          <w:rFonts w:ascii="Calibri" w:hAnsi="Calibri" w:cs="Calibri"/>
        </w:rPr>
        <w:t xml:space="preserve">’s occupational retirement </w:t>
      </w:r>
      <w:r w:rsidR="006940AA">
        <w:rPr>
          <w:rFonts w:ascii="Calibri" w:hAnsi="Calibri" w:cs="Calibri"/>
        </w:rPr>
        <w:t xml:space="preserve">business under which pension or annuity contracts </w:t>
      </w:r>
      <w:r w:rsidR="00257637">
        <w:rPr>
          <w:rFonts w:ascii="Calibri" w:hAnsi="Calibri" w:cs="Calibri"/>
        </w:rPr>
        <w:t xml:space="preserve">entered into between the employer and the insurance company provide </w:t>
      </w:r>
      <w:r w:rsidR="003C4CAF">
        <w:rPr>
          <w:rFonts w:ascii="Calibri" w:hAnsi="Calibri" w:cs="Calibri"/>
        </w:rPr>
        <w:t>retirement benefits for the employees</w:t>
      </w:r>
      <w:r w:rsidR="00254AD9">
        <w:rPr>
          <w:rFonts w:ascii="Calibri" w:hAnsi="Calibri" w:cs="Calibri"/>
        </w:rPr>
        <w:t xml:space="preserve"> and former employees (and their eligible survivors)</w:t>
      </w:r>
      <w:r w:rsidR="003C4CAF">
        <w:rPr>
          <w:rFonts w:ascii="Calibri" w:hAnsi="Calibri" w:cs="Calibri"/>
        </w:rPr>
        <w:t xml:space="preserve"> of the employer</w:t>
      </w:r>
      <w:r w:rsidR="00E10B33">
        <w:rPr>
          <w:rFonts w:ascii="Calibri" w:hAnsi="Calibri" w:cs="Calibri"/>
        </w:rPr>
        <w:t xml:space="preserve"> regulated by the Solvency II Directive.</w:t>
      </w:r>
    </w:p>
    <w:p w14:paraId="7FE1914A" w14:textId="2A2D0314" w:rsidR="006D155B" w:rsidRPr="00DC795E" w:rsidRDefault="00E82355" w:rsidP="00E82355">
      <w:pPr>
        <w:ind w:left="1440" w:hanging="720"/>
        <w:jc w:val="both"/>
        <w:rPr>
          <w:rFonts w:ascii="Calibri" w:hAnsi="Calibri" w:cs="Calibri"/>
        </w:rPr>
      </w:pPr>
      <w:r>
        <w:rPr>
          <w:rFonts w:ascii="Calibri" w:hAnsi="Calibri" w:cs="Calibri"/>
        </w:rPr>
        <w:t>3.8</w:t>
      </w:r>
      <w:r>
        <w:rPr>
          <w:rFonts w:ascii="Calibri" w:hAnsi="Calibri" w:cs="Calibri"/>
        </w:rPr>
        <w:tab/>
      </w:r>
      <w:r w:rsidR="00DC795E">
        <w:rPr>
          <w:rFonts w:ascii="Calibri" w:hAnsi="Calibri" w:cs="Calibri"/>
        </w:rPr>
        <w:t>Both arrangements have considerable similarities.</w:t>
      </w:r>
      <w:r w:rsidR="000171E8">
        <w:rPr>
          <w:rFonts w:ascii="Calibri" w:hAnsi="Calibri" w:cs="Calibri"/>
        </w:rPr>
        <w:t xml:space="preserve"> </w:t>
      </w:r>
      <w:r w:rsidR="00121840">
        <w:rPr>
          <w:rFonts w:ascii="Calibri" w:hAnsi="Calibri" w:cs="Calibri"/>
        </w:rPr>
        <w:t>However,</w:t>
      </w:r>
      <w:r w:rsidR="000171E8">
        <w:rPr>
          <w:rFonts w:ascii="Calibri" w:hAnsi="Calibri" w:cs="Calibri"/>
        </w:rPr>
        <w:t xml:space="preserve"> </w:t>
      </w:r>
      <w:r w:rsidR="00121840">
        <w:rPr>
          <w:rFonts w:ascii="Calibri" w:hAnsi="Calibri" w:cs="Calibri"/>
        </w:rPr>
        <w:t>the regulatory distinction is drawn</w:t>
      </w:r>
      <w:r w:rsidR="00676C8D">
        <w:rPr>
          <w:rFonts w:ascii="Calibri" w:hAnsi="Calibri" w:cs="Calibri"/>
        </w:rPr>
        <w:t xml:space="preserve"> by </w:t>
      </w:r>
      <w:r w:rsidR="006D155B" w:rsidRPr="00DC795E">
        <w:rPr>
          <w:rFonts w:ascii="Calibri" w:hAnsi="Calibri" w:cs="Calibri"/>
        </w:rPr>
        <w:t xml:space="preserve">excluding </w:t>
      </w:r>
      <w:r w:rsidR="00E11C5D">
        <w:rPr>
          <w:rFonts w:ascii="Calibri" w:hAnsi="Calibri" w:cs="Calibri"/>
        </w:rPr>
        <w:t xml:space="preserve">certain </w:t>
      </w:r>
      <w:r w:rsidR="00A11D20" w:rsidRPr="00DC795E">
        <w:rPr>
          <w:rFonts w:ascii="Calibri" w:hAnsi="Calibri" w:cs="Calibri"/>
        </w:rPr>
        <w:t>employer sponsored retirement benefit arrangements</w:t>
      </w:r>
      <w:r w:rsidR="00E10B33">
        <w:rPr>
          <w:rFonts w:ascii="Calibri" w:hAnsi="Calibri" w:cs="Calibri"/>
        </w:rPr>
        <w:t xml:space="preserve"> from</w:t>
      </w:r>
      <w:r w:rsidR="00676C8D">
        <w:rPr>
          <w:rFonts w:ascii="Calibri" w:hAnsi="Calibri" w:cs="Calibri"/>
        </w:rPr>
        <w:t xml:space="preserve"> the scope of </w:t>
      </w:r>
      <w:r w:rsidR="00917095">
        <w:rPr>
          <w:rFonts w:ascii="Calibri" w:hAnsi="Calibri" w:cs="Calibri"/>
        </w:rPr>
        <w:t>the Solvency II Directive</w:t>
      </w:r>
      <w:r w:rsidR="00917095">
        <w:rPr>
          <w:rStyle w:val="FootnoteReference"/>
          <w:rFonts w:ascii="Calibri" w:hAnsi="Calibri" w:cs="Calibri"/>
        </w:rPr>
        <w:footnoteReference w:id="9"/>
      </w:r>
      <w:r w:rsidR="00917095">
        <w:rPr>
          <w:rFonts w:ascii="Calibri" w:hAnsi="Calibri" w:cs="Calibri"/>
        </w:rPr>
        <w:t>.</w:t>
      </w:r>
    </w:p>
    <w:p w14:paraId="7959DC19" w14:textId="0556F488" w:rsidR="0012258C" w:rsidRPr="00235FF4" w:rsidRDefault="0012258C" w:rsidP="00CB53C0">
      <w:pPr>
        <w:ind w:left="1440" w:hanging="720"/>
        <w:jc w:val="both"/>
        <w:rPr>
          <w:rFonts w:ascii="Calibri" w:hAnsi="Calibri" w:cs="Calibri"/>
        </w:rPr>
      </w:pPr>
      <w:r w:rsidRPr="00235FF4">
        <w:rPr>
          <w:rFonts w:ascii="Calibri" w:hAnsi="Calibri" w:cs="Calibri"/>
        </w:rPr>
        <w:lastRenderedPageBreak/>
        <w:t>3.</w:t>
      </w:r>
      <w:r w:rsidR="004654B4">
        <w:rPr>
          <w:rFonts w:ascii="Calibri" w:hAnsi="Calibri" w:cs="Calibri"/>
        </w:rPr>
        <w:t>9</w:t>
      </w:r>
      <w:r w:rsidRPr="00235FF4">
        <w:rPr>
          <w:rFonts w:ascii="Calibri" w:hAnsi="Calibri" w:cs="Calibri"/>
        </w:rPr>
        <w:tab/>
        <w:t xml:space="preserve">In terms of regulatory capital requirements, insurance companies </w:t>
      </w:r>
      <w:r w:rsidR="00976228">
        <w:rPr>
          <w:rFonts w:ascii="Calibri" w:hAnsi="Calibri" w:cs="Calibri"/>
        </w:rPr>
        <w:t xml:space="preserve">in the European Union </w:t>
      </w:r>
      <w:r w:rsidRPr="00235FF4">
        <w:rPr>
          <w:rFonts w:ascii="Calibri" w:hAnsi="Calibri" w:cs="Calibri"/>
        </w:rPr>
        <w:t xml:space="preserve">must comply with the </w:t>
      </w:r>
      <w:r w:rsidR="00295AC0" w:rsidRPr="00235FF4">
        <w:rPr>
          <w:rFonts w:ascii="Calibri" w:hAnsi="Calibri" w:cs="Calibri"/>
        </w:rPr>
        <w:t>Solvency</w:t>
      </w:r>
      <w:r w:rsidR="00102066" w:rsidRPr="00235FF4">
        <w:rPr>
          <w:rFonts w:ascii="Calibri" w:hAnsi="Calibri" w:cs="Calibri"/>
        </w:rPr>
        <w:t xml:space="preserve"> II Directive</w:t>
      </w:r>
      <w:r w:rsidR="00976228">
        <w:rPr>
          <w:rStyle w:val="FootnoteReference"/>
          <w:rFonts w:ascii="Calibri" w:hAnsi="Calibri" w:cs="Calibri"/>
        </w:rPr>
        <w:footnoteReference w:id="10"/>
      </w:r>
      <w:r w:rsidR="00102066" w:rsidRPr="00235FF4">
        <w:rPr>
          <w:rFonts w:ascii="Calibri" w:hAnsi="Calibri" w:cs="Calibri"/>
        </w:rPr>
        <w:t xml:space="preserve"> where the regulatory capital requirements (and associated regulations) are seen as more stringent than those applicable to </w:t>
      </w:r>
      <w:r w:rsidR="000E5B72" w:rsidRPr="00235FF4">
        <w:rPr>
          <w:rFonts w:ascii="Calibri" w:hAnsi="Calibri" w:cs="Calibri"/>
        </w:rPr>
        <w:t>IORPs.</w:t>
      </w:r>
    </w:p>
    <w:p w14:paraId="29E81AFA" w14:textId="074A2C42" w:rsidR="00A20EB6" w:rsidRPr="00235FF4" w:rsidRDefault="00A20EB6" w:rsidP="00CB53C0">
      <w:pPr>
        <w:ind w:left="1440" w:hanging="720"/>
        <w:jc w:val="both"/>
        <w:rPr>
          <w:rFonts w:ascii="Calibri" w:hAnsi="Calibri" w:cs="Calibri"/>
        </w:rPr>
      </w:pPr>
      <w:r w:rsidRPr="00235FF4">
        <w:rPr>
          <w:rFonts w:ascii="Calibri" w:hAnsi="Calibri" w:cs="Calibri"/>
        </w:rPr>
        <w:t>3.</w:t>
      </w:r>
      <w:r w:rsidR="00C05F20">
        <w:rPr>
          <w:rFonts w:ascii="Calibri" w:hAnsi="Calibri" w:cs="Calibri"/>
        </w:rPr>
        <w:t>10</w:t>
      </w:r>
      <w:r w:rsidRPr="00235FF4">
        <w:rPr>
          <w:rFonts w:ascii="Calibri" w:hAnsi="Calibri" w:cs="Calibri"/>
        </w:rPr>
        <w:tab/>
      </w:r>
      <w:r w:rsidR="00860ED8">
        <w:rPr>
          <w:rFonts w:ascii="Calibri" w:hAnsi="Calibri" w:cs="Calibri"/>
        </w:rPr>
        <w:t xml:space="preserve">For regulatory capital and funding requirements, IORPs are </w:t>
      </w:r>
      <w:r w:rsidR="000E42C4">
        <w:rPr>
          <w:rFonts w:ascii="Calibri" w:hAnsi="Calibri" w:cs="Calibri"/>
        </w:rPr>
        <w:t xml:space="preserve">divided, by necessary implication, under the IORP II Directive into three </w:t>
      </w:r>
      <w:r w:rsidR="00BF1905" w:rsidRPr="00235FF4">
        <w:rPr>
          <w:rFonts w:ascii="Calibri" w:hAnsi="Calibri" w:cs="Calibri"/>
        </w:rPr>
        <w:t>categories:</w:t>
      </w:r>
    </w:p>
    <w:p w14:paraId="5A3C560C" w14:textId="2E3A5904" w:rsidR="00BF1905" w:rsidRPr="00235FF4" w:rsidRDefault="00295AC0" w:rsidP="006F2453">
      <w:pPr>
        <w:pStyle w:val="ListParagraph"/>
        <w:numPr>
          <w:ilvl w:val="0"/>
          <w:numId w:val="4"/>
        </w:numPr>
        <w:ind w:left="1797" w:hanging="357"/>
        <w:contextualSpacing w:val="0"/>
        <w:jc w:val="both"/>
        <w:rPr>
          <w:rFonts w:ascii="Calibri" w:hAnsi="Calibri" w:cs="Calibri"/>
        </w:rPr>
      </w:pPr>
      <w:r w:rsidRPr="000E42C4">
        <w:rPr>
          <w:rFonts w:ascii="Calibri" w:hAnsi="Calibri" w:cs="Calibri"/>
          <w:b/>
          <w:bCs/>
        </w:rPr>
        <w:t>Category</w:t>
      </w:r>
      <w:r w:rsidR="0020143D" w:rsidRPr="000E42C4">
        <w:rPr>
          <w:rFonts w:ascii="Calibri" w:hAnsi="Calibri" w:cs="Calibri"/>
          <w:b/>
          <w:bCs/>
        </w:rPr>
        <w:t xml:space="preserve"> 1</w:t>
      </w:r>
      <w:r w:rsidR="0020143D" w:rsidRPr="00235FF4">
        <w:rPr>
          <w:rFonts w:ascii="Calibri" w:hAnsi="Calibri" w:cs="Calibri"/>
        </w:rPr>
        <w:t xml:space="preserve">: </w:t>
      </w:r>
      <w:r w:rsidR="00BF1905" w:rsidRPr="00235FF4">
        <w:rPr>
          <w:rFonts w:ascii="Calibri" w:hAnsi="Calibri" w:cs="Calibri"/>
        </w:rPr>
        <w:t xml:space="preserve">those which </w:t>
      </w:r>
      <w:r w:rsidR="00F3672D">
        <w:rPr>
          <w:rFonts w:ascii="Calibri" w:hAnsi="Calibri" w:cs="Calibri"/>
        </w:rPr>
        <w:t xml:space="preserve">provide pension schemes which </w:t>
      </w:r>
      <w:r w:rsidR="00BF1905" w:rsidRPr="00235FF4">
        <w:rPr>
          <w:rFonts w:ascii="Calibri" w:hAnsi="Calibri" w:cs="Calibri"/>
        </w:rPr>
        <w:t>do not contain any guarantee as to the level of benefits</w:t>
      </w:r>
      <w:r w:rsidR="000E42C4">
        <w:rPr>
          <w:rFonts w:ascii="Calibri" w:hAnsi="Calibri" w:cs="Calibri"/>
        </w:rPr>
        <w:t>;</w:t>
      </w:r>
      <w:r w:rsidR="00BF1905" w:rsidRPr="00235FF4">
        <w:rPr>
          <w:rFonts w:ascii="Calibri" w:hAnsi="Calibri" w:cs="Calibri"/>
        </w:rPr>
        <w:t xml:space="preserve"> so pure DC only benefits are provided,</w:t>
      </w:r>
    </w:p>
    <w:p w14:paraId="21719015" w14:textId="22AECFD8" w:rsidR="006F2453" w:rsidRPr="00235FF4" w:rsidRDefault="00295AC0" w:rsidP="006F2453">
      <w:pPr>
        <w:pStyle w:val="ListParagraph"/>
        <w:numPr>
          <w:ilvl w:val="0"/>
          <w:numId w:val="4"/>
        </w:numPr>
        <w:ind w:left="1797" w:hanging="357"/>
        <w:contextualSpacing w:val="0"/>
        <w:jc w:val="both"/>
        <w:rPr>
          <w:rFonts w:ascii="Calibri" w:hAnsi="Calibri" w:cs="Calibri"/>
        </w:rPr>
      </w:pPr>
      <w:r w:rsidRPr="000E42C4">
        <w:rPr>
          <w:rFonts w:ascii="Calibri" w:hAnsi="Calibri" w:cs="Calibri"/>
          <w:b/>
          <w:bCs/>
        </w:rPr>
        <w:t>Category</w:t>
      </w:r>
      <w:r w:rsidR="0020143D" w:rsidRPr="000E42C4">
        <w:rPr>
          <w:rFonts w:ascii="Calibri" w:hAnsi="Calibri" w:cs="Calibri"/>
          <w:b/>
          <w:bCs/>
        </w:rPr>
        <w:t xml:space="preserve"> 2</w:t>
      </w:r>
      <w:r w:rsidR="0020143D" w:rsidRPr="00235FF4">
        <w:rPr>
          <w:rFonts w:ascii="Calibri" w:hAnsi="Calibri" w:cs="Calibri"/>
        </w:rPr>
        <w:t xml:space="preserve">: </w:t>
      </w:r>
      <w:r w:rsidR="00BF1905" w:rsidRPr="00235FF4">
        <w:rPr>
          <w:rFonts w:ascii="Calibri" w:hAnsi="Calibri" w:cs="Calibri"/>
        </w:rPr>
        <w:t xml:space="preserve">those </w:t>
      </w:r>
      <w:r w:rsidR="00F3672D">
        <w:rPr>
          <w:rFonts w:ascii="Calibri" w:hAnsi="Calibri" w:cs="Calibri"/>
        </w:rPr>
        <w:t xml:space="preserve">which </w:t>
      </w:r>
      <w:r w:rsidR="00BF1905" w:rsidRPr="00235FF4">
        <w:rPr>
          <w:rFonts w:ascii="Calibri" w:hAnsi="Calibri" w:cs="Calibri"/>
        </w:rPr>
        <w:t xml:space="preserve">provide </w:t>
      </w:r>
      <w:r w:rsidR="00F3672D">
        <w:rPr>
          <w:rFonts w:ascii="Calibri" w:hAnsi="Calibri" w:cs="Calibri"/>
        </w:rPr>
        <w:t xml:space="preserve">pension schemes that contain </w:t>
      </w:r>
      <w:r w:rsidR="0070746A" w:rsidRPr="00235FF4">
        <w:rPr>
          <w:rFonts w:ascii="Calibri" w:hAnsi="Calibri" w:cs="Calibri"/>
        </w:rPr>
        <w:t xml:space="preserve">a full or partial </w:t>
      </w:r>
      <w:r w:rsidR="00BF1905" w:rsidRPr="00235FF4">
        <w:rPr>
          <w:rFonts w:ascii="Calibri" w:hAnsi="Calibri" w:cs="Calibri"/>
        </w:rPr>
        <w:t>guarantee of the retirement benefit</w:t>
      </w:r>
      <w:r w:rsidR="008D4314">
        <w:rPr>
          <w:rFonts w:ascii="Calibri" w:hAnsi="Calibri" w:cs="Calibri"/>
        </w:rPr>
        <w:t xml:space="preserve"> (or cover against biometric risks such as longevity) </w:t>
      </w:r>
      <w:r w:rsidR="00BF1905" w:rsidRPr="00235FF4">
        <w:rPr>
          <w:rFonts w:ascii="Calibri" w:hAnsi="Calibri" w:cs="Calibri"/>
        </w:rPr>
        <w:t xml:space="preserve">but where the sponsoring employer </w:t>
      </w:r>
      <w:r w:rsidR="006F2453" w:rsidRPr="00235FF4">
        <w:rPr>
          <w:rFonts w:ascii="Calibri" w:hAnsi="Calibri" w:cs="Calibri"/>
        </w:rPr>
        <w:t>(rather than the IORP itself) ultimately underwrites the risk arising from that guarantee</w:t>
      </w:r>
      <w:r w:rsidR="0041433B">
        <w:rPr>
          <w:rFonts w:ascii="Calibri" w:hAnsi="Calibri" w:cs="Calibri"/>
        </w:rPr>
        <w:t xml:space="preserve"> or that cover</w:t>
      </w:r>
      <w:r w:rsidR="006F2453" w:rsidRPr="00235FF4">
        <w:rPr>
          <w:rFonts w:ascii="Calibri" w:hAnsi="Calibri" w:cs="Calibri"/>
        </w:rPr>
        <w:t>, and</w:t>
      </w:r>
    </w:p>
    <w:p w14:paraId="743218B9" w14:textId="0BD44920" w:rsidR="00BF1905" w:rsidRPr="00235FF4" w:rsidRDefault="0070746A" w:rsidP="006F2453">
      <w:pPr>
        <w:pStyle w:val="ListParagraph"/>
        <w:numPr>
          <w:ilvl w:val="0"/>
          <w:numId w:val="4"/>
        </w:numPr>
        <w:ind w:left="1797" w:hanging="357"/>
        <w:contextualSpacing w:val="0"/>
        <w:jc w:val="both"/>
        <w:rPr>
          <w:rFonts w:ascii="Calibri" w:hAnsi="Calibri" w:cs="Calibri"/>
        </w:rPr>
      </w:pPr>
      <w:r w:rsidRPr="000E42C4">
        <w:rPr>
          <w:rFonts w:ascii="Calibri" w:hAnsi="Calibri" w:cs="Calibri"/>
          <w:b/>
          <w:bCs/>
        </w:rPr>
        <w:t>Category</w:t>
      </w:r>
      <w:r w:rsidR="0020143D" w:rsidRPr="000E42C4">
        <w:rPr>
          <w:rFonts w:ascii="Calibri" w:hAnsi="Calibri" w:cs="Calibri"/>
          <w:b/>
          <w:bCs/>
        </w:rPr>
        <w:t xml:space="preserve"> 3</w:t>
      </w:r>
      <w:r w:rsidR="0020143D" w:rsidRPr="00235FF4">
        <w:rPr>
          <w:rFonts w:ascii="Calibri" w:hAnsi="Calibri" w:cs="Calibri"/>
        </w:rPr>
        <w:t xml:space="preserve">: </w:t>
      </w:r>
      <w:r w:rsidR="00B5683C">
        <w:rPr>
          <w:rFonts w:ascii="Calibri" w:hAnsi="Calibri" w:cs="Calibri"/>
        </w:rPr>
        <w:t xml:space="preserve">those </w:t>
      </w:r>
      <w:r w:rsidR="006F2453" w:rsidRPr="00235FF4">
        <w:rPr>
          <w:rFonts w:ascii="Calibri" w:hAnsi="Calibri" w:cs="Calibri"/>
        </w:rPr>
        <w:t xml:space="preserve">which </w:t>
      </w:r>
      <w:r w:rsidR="0020143D" w:rsidRPr="00235FF4">
        <w:rPr>
          <w:rFonts w:ascii="Calibri" w:hAnsi="Calibri" w:cs="Calibri"/>
        </w:rPr>
        <w:t xml:space="preserve">provide </w:t>
      </w:r>
      <w:r w:rsidR="00B5683C">
        <w:rPr>
          <w:rFonts w:ascii="Calibri" w:hAnsi="Calibri" w:cs="Calibri"/>
        </w:rPr>
        <w:t xml:space="preserve">pension schemes which contain </w:t>
      </w:r>
      <w:r w:rsidR="0020143D" w:rsidRPr="00235FF4">
        <w:rPr>
          <w:rFonts w:ascii="Calibri" w:hAnsi="Calibri" w:cs="Calibri"/>
        </w:rPr>
        <w:t>a</w:t>
      </w:r>
      <w:r w:rsidR="005138B4" w:rsidRPr="00235FF4">
        <w:rPr>
          <w:rFonts w:ascii="Calibri" w:hAnsi="Calibri" w:cs="Calibri"/>
        </w:rPr>
        <w:t xml:space="preserve"> full or partial</w:t>
      </w:r>
      <w:r w:rsidR="0020143D" w:rsidRPr="00235FF4">
        <w:rPr>
          <w:rFonts w:ascii="Calibri" w:hAnsi="Calibri" w:cs="Calibri"/>
        </w:rPr>
        <w:t xml:space="preserve"> guarantee on the retirement </w:t>
      </w:r>
      <w:r w:rsidR="0041433B" w:rsidRPr="00235FF4">
        <w:rPr>
          <w:rFonts w:ascii="Calibri" w:hAnsi="Calibri" w:cs="Calibri"/>
        </w:rPr>
        <w:t>benefit</w:t>
      </w:r>
      <w:r w:rsidR="0041433B">
        <w:rPr>
          <w:rFonts w:ascii="Calibri" w:hAnsi="Calibri" w:cs="Calibri"/>
        </w:rPr>
        <w:t xml:space="preserve"> (or cover against biometric risks such as longevity)</w:t>
      </w:r>
      <w:r w:rsidR="004E0EAC">
        <w:rPr>
          <w:rFonts w:ascii="Calibri" w:hAnsi="Calibri" w:cs="Calibri"/>
        </w:rPr>
        <w:t xml:space="preserve"> </w:t>
      </w:r>
      <w:r w:rsidR="0020143D" w:rsidRPr="00235FF4">
        <w:rPr>
          <w:rFonts w:ascii="Calibri" w:hAnsi="Calibri" w:cs="Calibri"/>
        </w:rPr>
        <w:t xml:space="preserve">but there is no underwriting of the </w:t>
      </w:r>
      <w:r w:rsidR="002946D8">
        <w:rPr>
          <w:rFonts w:ascii="Calibri" w:hAnsi="Calibri" w:cs="Calibri"/>
        </w:rPr>
        <w:t xml:space="preserve">risk </w:t>
      </w:r>
      <w:r w:rsidR="0090331E">
        <w:rPr>
          <w:rFonts w:ascii="Calibri" w:hAnsi="Calibri" w:cs="Calibri"/>
        </w:rPr>
        <w:t xml:space="preserve">arising from that </w:t>
      </w:r>
      <w:r w:rsidR="0020143D" w:rsidRPr="00235FF4">
        <w:rPr>
          <w:rFonts w:ascii="Calibri" w:hAnsi="Calibri" w:cs="Calibri"/>
        </w:rPr>
        <w:t xml:space="preserve">guarantee </w:t>
      </w:r>
      <w:r w:rsidR="00371390">
        <w:rPr>
          <w:rFonts w:ascii="Calibri" w:hAnsi="Calibri" w:cs="Calibri"/>
        </w:rPr>
        <w:t xml:space="preserve">or that cover </w:t>
      </w:r>
      <w:r w:rsidR="0020143D" w:rsidRPr="00235FF4">
        <w:rPr>
          <w:rFonts w:ascii="Calibri" w:hAnsi="Calibri" w:cs="Calibri"/>
        </w:rPr>
        <w:t>by the sponsoring employer.</w:t>
      </w:r>
      <w:r w:rsidR="006F2453" w:rsidRPr="00235FF4">
        <w:rPr>
          <w:rFonts w:ascii="Calibri" w:hAnsi="Calibri" w:cs="Calibri"/>
        </w:rPr>
        <w:t xml:space="preserve"> </w:t>
      </w:r>
    </w:p>
    <w:p w14:paraId="563FB04E" w14:textId="4922EABD" w:rsidR="00CD49A3" w:rsidRDefault="00D23670" w:rsidP="006F692D">
      <w:pPr>
        <w:ind w:left="1440" w:hanging="720"/>
        <w:jc w:val="both"/>
        <w:rPr>
          <w:rFonts w:ascii="Calibri" w:hAnsi="Calibri" w:cs="Calibri"/>
        </w:rPr>
      </w:pPr>
      <w:r w:rsidRPr="00235FF4">
        <w:rPr>
          <w:rFonts w:ascii="Calibri" w:hAnsi="Calibri" w:cs="Calibri"/>
        </w:rPr>
        <w:t>3.</w:t>
      </w:r>
      <w:r w:rsidR="007A50BF">
        <w:rPr>
          <w:rFonts w:ascii="Calibri" w:hAnsi="Calibri" w:cs="Calibri"/>
        </w:rPr>
        <w:t>1</w:t>
      </w:r>
      <w:r w:rsidR="00C05F20">
        <w:rPr>
          <w:rFonts w:ascii="Calibri" w:hAnsi="Calibri" w:cs="Calibri"/>
        </w:rPr>
        <w:t>1</w:t>
      </w:r>
      <w:r w:rsidR="006F692D" w:rsidRPr="00235FF4">
        <w:rPr>
          <w:rFonts w:ascii="Calibri" w:hAnsi="Calibri" w:cs="Calibri"/>
        </w:rPr>
        <w:tab/>
      </w:r>
      <w:r w:rsidR="0020143D" w:rsidRPr="00235FF4">
        <w:rPr>
          <w:rFonts w:ascii="Calibri" w:hAnsi="Calibri" w:cs="Calibri"/>
        </w:rPr>
        <w:t xml:space="preserve">In the language of the IORP Directive, </w:t>
      </w:r>
      <w:r w:rsidR="000C2929" w:rsidRPr="00235FF4">
        <w:rPr>
          <w:rFonts w:ascii="Calibri" w:hAnsi="Calibri" w:cs="Calibri"/>
        </w:rPr>
        <w:t>Category</w:t>
      </w:r>
      <w:r w:rsidR="0020143D" w:rsidRPr="00235FF4">
        <w:rPr>
          <w:rFonts w:ascii="Calibri" w:hAnsi="Calibri" w:cs="Calibri"/>
        </w:rPr>
        <w:t xml:space="preserve"> 3 IORPS are referred to </w:t>
      </w:r>
      <w:r w:rsidR="006F692D" w:rsidRPr="00235FF4">
        <w:rPr>
          <w:rFonts w:ascii="Calibri" w:hAnsi="Calibri" w:cs="Calibri"/>
        </w:rPr>
        <w:t>“</w:t>
      </w:r>
      <w:r w:rsidR="0020143D" w:rsidRPr="00235FF4">
        <w:rPr>
          <w:rFonts w:ascii="Calibri" w:hAnsi="Calibri" w:cs="Calibri"/>
        </w:rPr>
        <w:t>regulatory own fund IORPs” and must hold regulatory</w:t>
      </w:r>
      <w:r w:rsidR="00AB485B" w:rsidRPr="00235FF4">
        <w:rPr>
          <w:rFonts w:ascii="Calibri" w:hAnsi="Calibri" w:cs="Calibri"/>
        </w:rPr>
        <w:t xml:space="preserve"> capital complying with the requirements in the IORP II Directive</w:t>
      </w:r>
      <w:r w:rsidR="005E40C2">
        <w:rPr>
          <w:rFonts w:ascii="Calibri" w:hAnsi="Calibri" w:cs="Calibri"/>
        </w:rPr>
        <w:t xml:space="preserve"> which were </w:t>
      </w:r>
      <w:r w:rsidR="00AB485B" w:rsidRPr="00235FF4">
        <w:rPr>
          <w:rFonts w:ascii="Calibri" w:hAnsi="Calibri" w:cs="Calibri"/>
        </w:rPr>
        <w:t>originally in the Solvency I Directive.</w:t>
      </w:r>
      <w:r w:rsidR="00362AF1">
        <w:rPr>
          <w:rStyle w:val="FootnoteReference"/>
          <w:rFonts w:ascii="Calibri" w:hAnsi="Calibri" w:cs="Calibri"/>
        </w:rPr>
        <w:footnoteReference w:id="11"/>
      </w:r>
      <w:r w:rsidR="00AB485B" w:rsidRPr="00235FF4">
        <w:rPr>
          <w:rFonts w:ascii="Calibri" w:hAnsi="Calibri" w:cs="Calibri"/>
        </w:rPr>
        <w:t xml:space="preserve">  </w:t>
      </w:r>
    </w:p>
    <w:p w14:paraId="187DEDFD" w14:textId="76DB9E9B" w:rsidR="0020143D" w:rsidRPr="00235FF4" w:rsidRDefault="00CD49A3" w:rsidP="006F692D">
      <w:pPr>
        <w:ind w:left="1440" w:hanging="720"/>
        <w:jc w:val="both"/>
        <w:rPr>
          <w:rFonts w:ascii="Calibri" w:hAnsi="Calibri" w:cs="Calibri"/>
        </w:rPr>
      </w:pPr>
      <w:r>
        <w:rPr>
          <w:rFonts w:ascii="Calibri" w:hAnsi="Calibri" w:cs="Calibri"/>
        </w:rPr>
        <w:t>3.12</w:t>
      </w:r>
      <w:r>
        <w:rPr>
          <w:rFonts w:ascii="Calibri" w:hAnsi="Calibri" w:cs="Calibri"/>
        </w:rPr>
        <w:tab/>
      </w:r>
      <w:r w:rsidR="00AB485B" w:rsidRPr="00235FF4">
        <w:rPr>
          <w:rFonts w:ascii="Calibri" w:hAnsi="Calibri" w:cs="Calibri"/>
        </w:rPr>
        <w:t xml:space="preserve">These </w:t>
      </w:r>
      <w:r w:rsidR="00E31116" w:rsidRPr="00235FF4">
        <w:rPr>
          <w:rFonts w:ascii="Calibri" w:hAnsi="Calibri" w:cs="Calibri"/>
        </w:rPr>
        <w:t>“Solvency I Requirements” are seen as less onerous than the Solvency II Requirements.  This, in turn, has led to a certain amount of regulatory arbitra</w:t>
      </w:r>
      <w:r w:rsidR="00090E8D">
        <w:rPr>
          <w:rFonts w:ascii="Calibri" w:hAnsi="Calibri" w:cs="Calibri"/>
        </w:rPr>
        <w:t>ge.</w:t>
      </w:r>
    </w:p>
    <w:p w14:paraId="58331EAB" w14:textId="0EB7927C" w:rsidR="00E31116" w:rsidRPr="00235FF4" w:rsidRDefault="001B184C" w:rsidP="001B184C">
      <w:pPr>
        <w:pStyle w:val="ListParagraph"/>
        <w:ind w:left="0"/>
        <w:contextualSpacing w:val="0"/>
        <w:jc w:val="both"/>
        <w:rPr>
          <w:rFonts w:ascii="Calibri" w:hAnsi="Calibri" w:cs="Calibri"/>
          <w:b/>
          <w:bCs/>
          <w:u w:val="single"/>
        </w:rPr>
      </w:pPr>
      <w:r w:rsidRPr="00235FF4">
        <w:rPr>
          <w:rFonts w:ascii="Calibri" w:hAnsi="Calibri" w:cs="Calibri"/>
          <w:b/>
          <w:bCs/>
        </w:rPr>
        <w:t>4.</w:t>
      </w:r>
      <w:r w:rsidRPr="00235FF4">
        <w:rPr>
          <w:rFonts w:ascii="Calibri" w:hAnsi="Calibri" w:cs="Calibri"/>
          <w:b/>
          <w:bCs/>
        </w:rPr>
        <w:tab/>
      </w:r>
      <w:r w:rsidRPr="00235FF4">
        <w:rPr>
          <w:rFonts w:ascii="Calibri" w:hAnsi="Calibri" w:cs="Calibri"/>
          <w:b/>
          <w:bCs/>
          <w:u w:val="single"/>
        </w:rPr>
        <w:t>Funded/Unfunded</w:t>
      </w:r>
    </w:p>
    <w:p w14:paraId="520C0C92" w14:textId="77777777" w:rsidR="00952CDE" w:rsidRDefault="001B184C" w:rsidP="009A3996">
      <w:pPr>
        <w:pStyle w:val="ListParagraph"/>
        <w:ind w:left="1440" w:hanging="720"/>
        <w:contextualSpacing w:val="0"/>
        <w:jc w:val="both"/>
        <w:rPr>
          <w:rFonts w:ascii="Calibri" w:hAnsi="Calibri" w:cs="Calibri"/>
        </w:rPr>
      </w:pPr>
      <w:r w:rsidRPr="00235FF4">
        <w:rPr>
          <w:rFonts w:ascii="Calibri" w:hAnsi="Calibri" w:cs="Calibri"/>
        </w:rPr>
        <w:t>4.1</w:t>
      </w:r>
      <w:r w:rsidRPr="00235FF4">
        <w:rPr>
          <w:rFonts w:ascii="Calibri" w:hAnsi="Calibri" w:cs="Calibri"/>
        </w:rPr>
        <w:tab/>
      </w:r>
      <w:r w:rsidR="0090227E">
        <w:rPr>
          <w:rFonts w:ascii="Calibri" w:hAnsi="Calibri" w:cs="Calibri"/>
        </w:rPr>
        <w:t>Where</w:t>
      </w:r>
      <w:r w:rsidR="00952CDE">
        <w:rPr>
          <w:rFonts w:ascii="Calibri" w:hAnsi="Calibri" w:cs="Calibri"/>
        </w:rPr>
        <w:t>:</w:t>
      </w:r>
    </w:p>
    <w:p w14:paraId="2542A650" w14:textId="77777777" w:rsidR="00C253A5" w:rsidRDefault="0090227E" w:rsidP="00952CDE">
      <w:pPr>
        <w:pStyle w:val="ListParagraph"/>
        <w:numPr>
          <w:ilvl w:val="0"/>
          <w:numId w:val="10"/>
        </w:numPr>
        <w:ind w:left="1800"/>
        <w:contextualSpacing w:val="0"/>
        <w:jc w:val="both"/>
        <w:rPr>
          <w:rFonts w:ascii="Calibri" w:hAnsi="Calibri" w:cs="Calibri"/>
        </w:rPr>
      </w:pPr>
      <w:r>
        <w:rPr>
          <w:rFonts w:ascii="Calibri" w:hAnsi="Calibri" w:cs="Calibri"/>
        </w:rPr>
        <w:t xml:space="preserve">the employer arranges for the </w:t>
      </w:r>
      <w:r w:rsidR="00A2754D">
        <w:rPr>
          <w:rFonts w:ascii="Calibri" w:hAnsi="Calibri" w:cs="Calibri"/>
        </w:rPr>
        <w:t>retirement benefit for its employees to be paid by another per</w:t>
      </w:r>
      <w:r w:rsidR="00952CDE">
        <w:rPr>
          <w:rFonts w:ascii="Calibri" w:hAnsi="Calibri" w:cs="Calibri"/>
        </w:rPr>
        <w:t>son</w:t>
      </w:r>
      <w:r w:rsidR="00C253A5">
        <w:rPr>
          <w:rFonts w:ascii="Calibri" w:hAnsi="Calibri" w:cs="Calibri"/>
        </w:rPr>
        <w:t>; and</w:t>
      </w:r>
    </w:p>
    <w:p w14:paraId="64931829" w14:textId="56A1170E" w:rsidR="0090227E" w:rsidRDefault="00C253A5" w:rsidP="00952CDE">
      <w:pPr>
        <w:pStyle w:val="ListParagraph"/>
        <w:numPr>
          <w:ilvl w:val="0"/>
          <w:numId w:val="10"/>
        </w:numPr>
        <w:ind w:left="1800"/>
        <w:contextualSpacing w:val="0"/>
        <w:jc w:val="both"/>
        <w:rPr>
          <w:rFonts w:ascii="Calibri" w:hAnsi="Calibri" w:cs="Calibri"/>
        </w:rPr>
      </w:pPr>
      <w:r w:rsidRPr="00C253A5">
        <w:rPr>
          <w:rFonts w:ascii="Calibri" w:hAnsi="Calibri" w:cs="Calibri"/>
        </w:rPr>
        <w:t>the employer pays contributions to th</w:t>
      </w:r>
      <w:r>
        <w:rPr>
          <w:rFonts w:ascii="Calibri" w:hAnsi="Calibri" w:cs="Calibri"/>
        </w:rPr>
        <w:t xml:space="preserve">at other person to fund or finance the payment of the retirement benefit, </w:t>
      </w:r>
    </w:p>
    <w:p w14:paraId="4DC69578" w14:textId="4E3853A7" w:rsidR="00F87325" w:rsidRPr="00F87325" w:rsidRDefault="00F87325" w:rsidP="00F87325">
      <w:pPr>
        <w:ind w:left="1440"/>
        <w:jc w:val="both"/>
        <w:rPr>
          <w:rFonts w:ascii="Calibri" w:hAnsi="Calibri" w:cs="Calibri"/>
        </w:rPr>
      </w:pPr>
      <w:r>
        <w:rPr>
          <w:rFonts w:ascii="Calibri" w:hAnsi="Calibri" w:cs="Calibri"/>
        </w:rPr>
        <w:t>the pension scheme can be classified as funded.</w:t>
      </w:r>
    </w:p>
    <w:p w14:paraId="1950EAB8" w14:textId="23725986" w:rsidR="00813B1C" w:rsidRPr="00235FF4" w:rsidRDefault="00813B1C" w:rsidP="009A3996">
      <w:pPr>
        <w:pStyle w:val="ListParagraph"/>
        <w:ind w:left="1440" w:hanging="720"/>
        <w:contextualSpacing w:val="0"/>
        <w:jc w:val="both"/>
        <w:rPr>
          <w:rFonts w:ascii="Calibri" w:hAnsi="Calibri" w:cs="Calibri"/>
        </w:rPr>
      </w:pPr>
      <w:r w:rsidRPr="00235FF4">
        <w:rPr>
          <w:rFonts w:ascii="Calibri" w:hAnsi="Calibri" w:cs="Calibri"/>
        </w:rPr>
        <w:t>4.2</w:t>
      </w:r>
      <w:r w:rsidRPr="00235FF4">
        <w:rPr>
          <w:rFonts w:ascii="Calibri" w:hAnsi="Calibri" w:cs="Calibri"/>
        </w:rPr>
        <w:tab/>
        <w:t xml:space="preserve">In contrast, if there is no pre-funding and any contributions collected are paid out almost immediately to meet the benefits due to those who are already retired, the </w:t>
      </w:r>
      <w:r w:rsidR="00B300D5" w:rsidRPr="00235FF4">
        <w:rPr>
          <w:rFonts w:ascii="Calibri" w:hAnsi="Calibri" w:cs="Calibri"/>
        </w:rPr>
        <w:t>arrangement is “unfunded”</w:t>
      </w:r>
      <w:r w:rsidR="0097163C">
        <w:rPr>
          <w:rFonts w:ascii="Calibri" w:hAnsi="Calibri" w:cs="Calibri"/>
        </w:rPr>
        <w:t xml:space="preserve"> and will be classified as a pay-as-you-go </w:t>
      </w:r>
      <w:r w:rsidR="00BA5B9F">
        <w:rPr>
          <w:rFonts w:ascii="Calibri" w:hAnsi="Calibri" w:cs="Calibri"/>
        </w:rPr>
        <w:t>scheme or a book reserve scheme.</w:t>
      </w:r>
    </w:p>
    <w:p w14:paraId="097C9915" w14:textId="48B774E4" w:rsidR="00B300D5" w:rsidRDefault="00B300D5" w:rsidP="009A3996">
      <w:pPr>
        <w:pStyle w:val="ListParagraph"/>
        <w:ind w:left="1440" w:hanging="720"/>
        <w:contextualSpacing w:val="0"/>
        <w:jc w:val="both"/>
        <w:rPr>
          <w:rFonts w:ascii="Calibri" w:hAnsi="Calibri" w:cs="Calibri"/>
        </w:rPr>
      </w:pPr>
      <w:r w:rsidRPr="00235FF4">
        <w:rPr>
          <w:rFonts w:ascii="Calibri" w:hAnsi="Calibri" w:cs="Calibri"/>
        </w:rPr>
        <w:t>4.3</w:t>
      </w:r>
      <w:r w:rsidRPr="00235FF4">
        <w:rPr>
          <w:rFonts w:ascii="Calibri" w:hAnsi="Calibri" w:cs="Calibri"/>
        </w:rPr>
        <w:tab/>
        <w:t>It is possible to have hybrid arrangements which are partly funded and partly unfunded; for example for what is predominantly an unfunded a</w:t>
      </w:r>
      <w:r w:rsidR="00B30A15" w:rsidRPr="00235FF4">
        <w:rPr>
          <w:rFonts w:ascii="Calibri" w:hAnsi="Calibri" w:cs="Calibri"/>
        </w:rPr>
        <w:t xml:space="preserve">rrangement to also have a “buffer fund” to serve as a contingency against a decline in </w:t>
      </w:r>
      <w:r w:rsidR="00B30A15" w:rsidRPr="00235FF4">
        <w:rPr>
          <w:rFonts w:ascii="Calibri" w:hAnsi="Calibri" w:cs="Calibri"/>
        </w:rPr>
        <w:lastRenderedPageBreak/>
        <w:t xml:space="preserve">contributions or </w:t>
      </w:r>
      <w:r w:rsidR="00434F2A">
        <w:rPr>
          <w:rFonts w:ascii="Calibri" w:hAnsi="Calibri" w:cs="Calibri"/>
        </w:rPr>
        <w:t>a</w:t>
      </w:r>
      <w:r w:rsidR="00B30A15" w:rsidRPr="00235FF4">
        <w:rPr>
          <w:rFonts w:ascii="Calibri" w:hAnsi="Calibri" w:cs="Calibri"/>
        </w:rPr>
        <w:t xml:space="preserve"> substantive change in the demographic assumptions underpinning the calculation of the contributions in respect of the unfunded pension plan.  Th</w:t>
      </w:r>
      <w:r w:rsidR="00A6581A">
        <w:rPr>
          <w:rFonts w:ascii="Calibri" w:hAnsi="Calibri" w:cs="Calibri"/>
        </w:rPr>
        <w:t xml:space="preserve">ere is some more detail, </w:t>
      </w:r>
      <w:r w:rsidR="0057016D" w:rsidRPr="00235FF4">
        <w:rPr>
          <w:rFonts w:ascii="Calibri" w:hAnsi="Calibri" w:cs="Calibri"/>
        </w:rPr>
        <w:t xml:space="preserve">in </w:t>
      </w:r>
      <w:r w:rsidR="0057016D" w:rsidRPr="00235FF4">
        <w:rPr>
          <w:rFonts w:ascii="Calibri" w:hAnsi="Calibri" w:cs="Calibri"/>
          <w:b/>
          <w:bCs/>
        </w:rPr>
        <w:t>Annex A</w:t>
      </w:r>
      <w:r w:rsidR="00A6581A">
        <w:rPr>
          <w:rFonts w:ascii="Calibri" w:hAnsi="Calibri" w:cs="Calibri"/>
          <w:b/>
          <w:bCs/>
        </w:rPr>
        <w:t>,</w:t>
      </w:r>
      <w:r w:rsidR="0057016D" w:rsidRPr="00235FF4">
        <w:rPr>
          <w:rFonts w:ascii="Calibri" w:hAnsi="Calibri" w:cs="Calibri"/>
        </w:rPr>
        <w:t xml:space="preserve"> in respect of </w:t>
      </w:r>
      <w:r w:rsidR="00464400">
        <w:rPr>
          <w:rFonts w:ascii="Calibri" w:hAnsi="Calibri" w:cs="Calibri"/>
        </w:rPr>
        <w:t>pension schemes in France; for example</w:t>
      </w:r>
      <w:r w:rsidR="004844F4">
        <w:rPr>
          <w:rFonts w:ascii="Calibri" w:hAnsi="Calibri" w:cs="Calibri"/>
        </w:rPr>
        <w:t>,</w:t>
      </w:r>
      <w:r w:rsidR="00464400">
        <w:rPr>
          <w:rFonts w:ascii="Calibri" w:hAnsi="Calibri" w:cs="Calibri"/>
        </w:rPr>
        <w:t xml:space="preserve"> </w:t>
      </w:r>
      <w:r w:rsidR="0057016D" w:rsidRPr="00235FF4">
        <w:rPr>
          <w:rFonts w:ascii="Calibri" w:hAnsi="Calibri" w:cs="Calibri"/>
        </w:rPr>
        <w:t>the AGIRC</w:t>
      </w:r>
      <w:r w:rsidR="004E7801" w:rsidRPr="00235FF4">
        <w:rPr>
          <w:rStyle w:val="FootnoteReference"/>
          <w:rFonts w:ascii="Calibri" w:hAnsi="Calibri" w:cs="Calibri"/>
        </w:rPr>
        <w:footnoteReference w:id="12"/>
      </w:r>
      <w:r w:rsidR="0057016D" w:rsidRPr="00235FF4">
        <w:rPr>
          <w:rFonts w:ascii="Calibri" w:hAnsi="Calibri" w:cs="Calibri"/>
        </w:rPr>
        <w:t>/ARR</w:t>
      </w:r>
      <w:r w:rsidR="004E7801" w:rsidRPr="00235FF4">
        <w:rPr>
          <w:rFonts w:ascii="Calibri" w:hAnsi="Calibri" w:cs="Calibri"/>
        </w:rPr>
        <w:t>CO</w:t>
      </w:r>
      <w:r w:rsidR="0069186B" w:rsidRPr="00235FF4">
        <w:rPr>
          <w:rStyle w:val="FootnoteReference"/>
          <w:rFonts w:ascii="Calibri" w:hAnsi="Calibri" w:cs="Calibri"/>
        </w:rPr>
        <w:footnoteReference w:id="13"/>
      </w:r>
      <w:r w:rsidR="004E7801" w:rsidRPr="00235FF4">
        <w:rPr>
          <w:rFonts w:ascii="Calibri" w:hAnsi="Calibri" w:cs="Calibri"/>
        </w:rPr>
        <w:t xml:space="preserve"> pension scheme.</w:t>
      </w:r>
    </w:p>
    <w:p w14:paraId="51697F63" w14:textId="2CEEA61A" w:rsidR="00097953" w:rsidRPr="00235FF4" w:rsidRDefault="00097953" w:rsidP="009A3996">
      <w:pPr>
        <w:pStyle w:val="ListParagraph"/>
        <w:ind w:left="1440" w:hanging="720"/>
        <w:contextualSpacing w:val="0"/>
        <w:jc w:val="both"/>
        <w:rPr>
          <w:rFonts w:ascii="Calibri" w:hAnsi="Calibri" w:cs="Calibri"/>
        </w:rPr>
      </w:pPr>
      <w:r>
        <w:rPr>
          <w:rFonts w:ascii="Calibri" w:hAnsi="Calibri" w:cs="Calibri"/>
        </w:rPr>
        <w:t>4.4</w:t>
      </w:r>
      <w:r>
        <w:rPr>
          <w:rFonts w:ascii="Calibri" w:hAnsi="Calibri" w:cs="Calibri"/>
        </w:rPr>
        <w:tab/>
        <w:t>In the US, plans that cover rank and file employees are required to be funded whereas executive top up plans are required to be unfunded.  Although unfunded, employers are permitted to establish dedicated trusts from which executive benefits are paid however those arrangements must meet certain rules including that the assets in such a dedicated trust must be available to the employer’s creditors.</w:t>
      </w:r>
    </w:p>
    <w:p w14:paraId="6B321881" w14:textId="671C21AE" w:rsidR="00223500" w:rsidRPr="00986B43" w:rsidRDefault="00223500" w:rsidP="00223500">
      <w:pPr>
        <w:pStyle w:val="ListParagraph"/>
        <w:ind w:hanging="720"/>
        <w:contextualSpacing w:val="0"/>
        <w:jc w:val="both"/>
        <w:rPr>
          <w:rFonts w:ascii="Calibri" w:hAnsi="Calibri" w:cs="Calibri"/>
          <w:b/>
          <w:bCs/>
          <w:u w:val="single"/>
        </w:rPr>
      </w:pPr>
      <w:r w:rsidRPr="00986B43">
        <w:rPr>
          <w:rFonts w:ascii="Calibri" w:hAnsi="Calibri" w:cs="Calibri"/>
          <w:b/>
          <w:bCs/>
        </w:rPr>
        <w:t>5.</w:t>
      </w:r>
      <w:r w:rsidRPr="00986B43">
        <w:rPr>
          <w:rFonts w:ascii="Calibri" w:hAnsi="Calibri" w:cs="Calibri"/>
          <w:b/>
          <w:bCs/>
        </w:rPr>
        <w:tab/>
      </w:r>
      <w:r w:rsidRPr="00986B43">
        <w:rPr>
          <w:rFonts w:ascii="Calibri" w:hAnsi="Calibri" w:cs="Calibri"/>
          <w:b/>
          <w:bCs/>
          <w:u w:val="single"/>
        </w:rPr>
        <w:t>ERISA, D</w:t>
      </w:r>
      <w:r w:rsidR="00726EE7" w:rsidRPr="00986B43">
        <w:rPr>
          <w:rFonts w:ascii="Calibri" w:hAnsi="Calibri" w:cs="Calibri"/>
          <w:b/>
          <w:bCs/>
          <w:u w:val="single"/>
        </w:rPr>
        <w:t>oL</w:t>
      </w:r>
      <w:r w:rsidRPr="00986B43">
        <w:rPr>
          <w:rFonts w:ascii="Calibri" w:hAnsi="Calibri" w:cs="Calibri"/>
          <w:b/>
          <w:bCs/>
          <w:u w:val="single"/>
        </w:rPr>
        <w:t xml:space="preserve"> and IRS</w:t>
      </w:r>
    </w:p>
    <w:p w14:paraId="68BDAEF0" w14:textId="43E3EAB6" w:rsidR="00223500" w:rsidRPr="00235FF4" w:rsidRDefault="00BB040D" w:rsidP="00BB040D">
      <w:pPr>
        <w:pStyle w:val="ListParagraph"/>
        <w:ind w:left="1440" w:hanging="720"/>
        <w:contextualSpacing w:val="0"/>
        <w:jc w:val="both"/>
        <w:rPr>
          <w:rFonts w:ascii="Calibri" w:hAnsi="Calibri" w:cs="Calibri"/>
        </w:rPr>
      </w:pPr>
      <w:r w:rsidRPr="00235FF4">
        <w:rPr>
          <w:rFonts w:ascii="Calibri" w:hAnsi="Calibri" w:cs="Calibri"/>
        </w:rPr>
        <w:t>5.1</w:t>
      </w:r>
      <w:r w:rsidRPr="00235FF4">
        <w:rPr>
          <w:rFonts w:ascii="Calibri" w:hAnsi="Calibri" w:cs="Calibri"/>
        </w:rPr>
        <w:tab/>
        <w:t xml:space="preserve">ERISA is the </w:t>
      </w:r>
      <w:r w:rsidR="00726EE7" w:rsidRPr="00235FF4">
        <w:rPr>
          <w:rFonts w:ascii="Calibri" w:hAnsi="Calibri" w:cs="Calibri"/>
        </w:rPr>
        <w:t>abbreviation commonly used to refer to the Employment Retirement Income Security Act of 1974, as amended.</w:t>
      </w:r>
    </w:p>
    <w:p w14:paraId="150DC5F0" w14:textId="4B818593" w:rsidR="00726EE7" w:rsidRPr="00235FF4" w:rsidRDefault="00726EE7" w:rsidP="00BB040D">
      <w:pPr>
        <w:pStyle w:val="ListParagraph"/>
        <w:ind w:left="1440" w:hanging="720"/>
        <w:contextualSpacing w:val="0"/>
        <w:jc w:val="both"/>
        <w:rPr>
          <w:rFonts w:ascii="Calibri" w:hAnsi="Calibri" w:cs="Calibri"/>
        </w:rPr>
      </w:pPr>
      <w:r w:rsidRPr="00235FF4">
        <w:rPr>
          <w:rFonts w:ascii="Calibri" w:hAnsi="Calibri" w:cs="Calibri"/>
        </w:rPr>
        <w:t>5.2</w:t>
      </w:r>
      <w:r w:rsidRPr="00235FF4">
        <w:rPr>
          <w:rFonts w:ascii="Calibri" w:hAnsi="Calibri" w:cs="Calibri"/>
        </w:rPr>
        <w:tab/>
        <w:t>DoL is the abbreviation commonly used to refer to the US Department of Labor</w:t>
      </w:r>
      <w:r w:rsidR="007C52C4" w:rsidRPr="00235FF4">
        <w:rPr>
          <w:rFonts w:ascii="Calibri" w:hAnsi="Calibri" w:cs="Calibri"/>
        </w:rPr>
        <w:t xml:space="preserve"> which has substantial regulatory oversight over pension plans in the US.</w:t>
      </w:r>
    </w:p>
    <w:p w14:paraId="466F0D2E" w14:textId="1140CB8D" w:rsidR="007C52C4" w:rsidRPr="00235FF4" w:rsidRDefault="00E62D56" w:rsidP="00BB040D">
      <w:pPr>
        <w:pStyle w:val="ListParagraph"/>
        <w:ind w:left="1440" w:hanging="720"/>
        <w:contextualSpacing w:val="0"/>
        <w:jc w:val="both"/>
        <w:rPr>
          <w:rFonts w:ascii="Calibri" w:hAnsi="Calibri" w:cs="Calibri"/>
        </w:rPr>
      </w:pPr>
      <w:r w:rsidRPr="00235FF4">
        <w:rPr>
          <w:rFonts w:ascii="Calibri" w:hAnsi="Calibri" w:cs="Calibri"/>
        </w:rPr>
        <w:t>5.3</w:t>
      </w:r>
      <w:r w:rsidRPr="00235FF4">
        <w:rPr>
          <w:rFonts w:ascii="Calibri" w:hAnsi="Calibri" w:cs="Calibri"/>
        </w:rPr>
        <w:tab/>
        <w:t xml:space="preserve">IRS is the abbreviation commonly used to refer to the US </w:t>
      </w:r>
      <w:r w:rsidR="00097953">
        <w:rPr>
          <w:rFonts w:ascii="Calibri" w:hAnsi="Calibri" w:cs="Calibri"/>
        </w:rPr>
        <w:t>Internal</w:t>
      </w:r>
      <w:r w:rsidR="00097953" w:rsidRPr="00235FF4">
        <w:rPr>
          <w:rFonts w:ascii="Calibri" w:hAnsi="Calibri" w:cs="Calibri"/>
        </w:rPr>
        <w:t xml:space="preserve"> </w:t>
      </w:r>
      <w:r w:rsidRPr="00235FF4">
        <w:rPr>
          <w:rFonts w:ascii="Calibri" w:hAnsi="Calibri" w:cs="Calibri"/>
        </w:rPr>
        <w:t xml:space="preserve">Revenue Service which also has substantial regulatory oversight over US pension plans </w:t>
      </w:r>
      <w:r w:rsidR="00A738F7" w:rsidRPr="00235FF4">
        <w:rPr>
          <w:rFonts w:ascii="Calibri" w:hAnsi="Calibri" w:cs="Calibri"/>
        </w:rPr>
        <w:t>to ensure that the tax rel</w:t>
      </w:r>
      <w:r w:rsidR="009911CB">
        <w:rPr>
          <w:rFonts w:ascii="Calibri" w:hAnsi="Calibri" w:cs="Calibri"/>
        </w:rPr>
        <w:t>iefs</w:t>
      </w:r>
      <w:r w:rsidR="00A738F7" w:rsidRPr="00235FF4">
        <w:rPr>
          <w:rFonts w:ascii="Calibri" w:hAnsi="Calibri" w:cs="Calibri"/>
        </w:rPr>
        <w:t xml:space="preserve"> granted in relation to contributions to, investment income and gains arising within, and benefits paid out are in compliance with </w:t>
      </w:r>
      <w:r w:rsidR="00306E5B">
        <w:rPr>
          <w:rFonts w:ascii="Calibri" w:hAnsi="Calibri" w:cs="Calibri"/>
        </w:rPr>
        <w:t xml:space="preserve">rules within </w:t>
      </w:r>
      <w:r w:rsidR="00A738F7" w:rsidRPr="00235FF4">
        <w:rPr>
          <w:rFonts w:ascii="Calibri" w:hAnsi="Calibri" w:cs="Calibri"/>
        </w:rPr>
        <w:t xml:space="preserve">the </w:t>
      </w:r>
      <w:r w:rsidR="006B5C73" w:rsidRPr="00235FF4">
        <w:rPr>
          <w:rFonts w:ascii="Calibri" w:hAnsi="Calibri" w:cs="Calibri"/>
        </w:rPr>
        <w:t>applicable tax legislation</w:t>
      </w:r>
      <w:r w:rsidR="00097953">
        <w:rPr>
          <w:rFonts w:ascii="Calibri" w:hAnsi="Calibri" w:cs="Calibri"/>
        </w:rPr>
        <w:t xml:space="preserve"> </w:t>
      </w:r>
      <w:r w:rsidR="00306E5B">
        <w:rPr>
          <w:rFonts w:ascii="Calibri" w:hAnsi="Calibri" w:cs="Calibri"/>
        </w:rPr>
        <w:t xml:space="preserve">that </w:t>
      </w:r>
      <w:r w:rsidR="00097953">
        <w:rPr>
          <w:rFonts w:ascii="Calibri" w:hAnsi="Calibri" w:cs="Calibri"/>
        </w:rPr>
        <w:t xml:space="preserve">are </w:t>
      </w:r>
      <w:r w:rsidR="00306E5B">
        <w:rPr>
          <w:rFonts w:ascii="Calibri" w:hAnsi="Calibri" w:cs="Calibri"/>
        </w:rPr>
        <w:t>heavily</w:t>
      </w:r>
      <w:r w:rsidR="00097953">
        <w:rPr>
          <w:rFonts w:ascii="Calibri" w:hAnsi="Calibri" w:cs="Calibri"/>
        </w:rPr>
        <w:t xml:space="preserve"> focused on </w:t>
      </w:r>
      <w:r w:rsidR="00306E5B">
        <w:rPr>
          <w:rFonts w:ascii="Calibri" w:hAnsi="Calibri" w:cs="Calibri"/>
        </w:rPr>
        <w:t>requiring plans to pay meaningful benefits to employees who are not highly compensated</w:t>
      </w:r>
      <w:r w:rsidR="006B5C73" w:rsidRPr="00235FF4">
        <w:rPr>
          <w:rFonts w:ascii="Calibri" w:hAnsi="Calibri" w:cs="Calibri"/>
        </w:rPr>
        <w:t xml:space="preserve">.  </w:t>
      </w:r>
    </w:p>
    <w:p w14:paraId="67F56438" w14:textId="0EDB3824" w:rsidR="006B5C73" w:rsidRPr="00235FF4" w:rsidRDefault="006B5C73" w:rsidP="006B5C73">
      <w:pPr>
        <w:pStyle w:val="ListParagraph"/>
        <w:ind w:hanging="720"/>
        <w:contextualSpacing w:val="0"/>
        <w:jc w:val="both"/>
        <w:rPr>
          <w:rFonts w:ascii="Calibri" w:hAnsi="Calibri" w:cs="Calibri"/>
          <w:b/>
          <w:bCs/>
        </w:rPr>
      </w:pPr>
      <w:r w:rsidRPr="00235FF4">
        <w:rPr>
          <w:rFonts w:ascii="Calibri" w:hAnsi="Calibri" w:cs="Calibri"/>
          <w:b/>
          <w:bCs/>
        </w:rPr>
        <w:t>6.</w:t>
      </w:r>
      <w:r w:rsidRPr="00235FF4">
        <w:rPr>
          <w:rFonts w:ascii="Calibri" w:hAnsi="Calibri" w:cs="Calibri"/>
          <w:b/>
          <w:bCs/>
        </w:rPr>
        <w:tab/>
      </w:r>
      <w:r w:rsidRPr="00235FF4">
        <w:rPr>
          <w:rFonts w:ascii="Calibri" w:hAnsi="Calibri" w:cs="Calibri"/>
          <w:b/>
          <w:bCs/>
          <w:u w:val="single"/>
        </w:rPr>
        <w:t xml:space="preserve">DB and DC </w:t>
      </w:r>
    </w:p>
    <w:p w14:paraId="6A430EB0" w14:textId="4CCBD379" w:rsidR="006B5C73" w:rsidRPr="00235FF4" w:rsidRDefault="006B5C73" w:rsidP="006B5C73">
      <w:pPr>
        <w:pStyle w:val="ListParagraph"/>
        <w:ind w:left="1440" w:hanging="720"/>
        <w:contextualSpacing w:val="0"/>
        <w:jc w:val="both"/>
        <w:rPr>
          <w:rFonts w:ascii="Calibri" w:hAnsi="Calibri" w:cs="Calibri"/>
        </w:rPr>
      </w:pPr>
      <w:r w:rsidRPr="00235FF4">
        <w:rPr>
          <w:rFonts w:ascii="Calibri" w:hAnsi="Calibri" w:cs="Calibri"/>
        </w:rPr>
        <w:t>6.1</w:t>
      </w:r>
      <w:r w:rsidRPr="00235FF4">
        <w:rPr>
          <w:rFonts w:ascii="Calibri" w:hAnsi="Calibri" w:cs="Calibri"/>
        </w:rPr>
        <w:tab/>
        <w:t xml:space="preserve">In its simplest form, a defined benefit benefit (or DB benefit), </w:t>
      </w:r>
      <w:r w:rsidR="004D0B24" w:rsidRPr="00235FF4">
        <w:rPr>
          <w:rFonts w:ascii="Calibri" w:hAnsi="Calibri" w:cs="Calibri"/>
        </w:rPr>
        <w:t>is a lump sum or pension p</w:t>
      </w:r>
      <w:r w:rsidR="00C469B1">
        <w:rPr>
          <w:rFonts w:ascii="Calibri" w:hAnsi="Calibri" w:cs="Calibri"/>
        </w:rPr>
        <w:t>ayable by a person where the pay</w:t>
      </w:r>
      <w:r w:rsidR="00250C05">
        <w:rPr>
          <w:rFonts w:ascii="Calibri" w:hAnsi="Calibri" w:cs="Calibri"/>
        </w:rPr>
        <w:t>er</w:t>
      </w:r>
      <w:r w:rsidR="00C469B1">
        <w:rPr>
          <w:rFonts w:ascii="Calibri" w:hAnsi="Calibri" w:cs="Calibri"/>
        </w:rPr>
        <w:t xml:space="preserve"> has </w:t>
      </w:r>
      <w:r w:rsidR="004D0B24" w:rsidRPr="00235FF4">
        <w:rPr>
          <w:rFonts w:ascii="Calibri" w:hAnsi="Calibri" w:cs="Calibri"/>
        </w:rPr>
        <w:t xml:space="preserve">a legal obligation to pay that pension or that benefit to the plan member </w:t>
      </w:r>
      <w:r w:rsidR="000113E2">
        <w:rPr>
          <w:rFonts w:ascii="Calibri" w:hAnsi="Calibri" w:cs="Calibri"/>
        </w:rPr>
        <w:t>(</w:t>
      </w:r>
      <w:r w:rsidR="004D0B24" w:rsidRPr="00235FF4">
        <w:rPr>
          <w:rFonts w:ascii="Calibri" w:hAnsi="Calibri" w:cs="Calibri"/>
        </w:rPr>
        <w:t xml:space="preserve">or </w:t>
      </w:r>
      <w:r w:rsidR="0038134F" w:rsidRPr="00235FF4">
        <w:rPr>
          <w:rFonts w:ascii="Calibri" w:hAnsi="Calibri" w:cs="Calibri"/>
        </w:rPr>
        <w:t xml:space="preserve">another </w:t>
      </w:r>
      <w:r w:rsidR="003816A2" w:rsidRPr="00235FF4">
        <w:rPr>
          <w:rFonts w:ascii="Calibri" w:hAnsi="Calibri" w:cs="Calibri"/>
        </w:rPr>
        <w:t>eligible</w:t>
      </w:r>
      <w:r w:rsidR="0038134F" w:rsidRPr="00235FF4">
        <w:rPr>
          <w:rFonts w:ascii="Calibri" w:hAnsi="Calibri" w:cs="Calibri"/>
        </w:rPr>
        <w:t xml:space="preserve"> beneficiary).  That legal </w:t>
      </w:r>
      <w:r w:rsidR="00FE01CB" w:rsidRPr="00235FF4">
        <w:rPr>
          <w:rFonts w:ascii="Calibri" w:hAnsi="Calibri" w:cs="Calibri"/>
        </w:rPr>
        <w:t xml:space="preserve">obligation to make that payment may derive from the employment contract, it may derive from the employment contract coupled with trust law (if the </w:t>
      </w:r>
      <w:r w:rsidR="007C3750" w:rsidRPr="00235FF4">
        <w:rPr>
          <w:rFonts w:ascii="Calibri" w:hAnsi="Calibri" w:cs="Calibri"/>
        </w:rPr>
        <w:t>pension plan is funded and the funding mechanism chosen is that of a trust) or under legislation relating to the pension plan in question.</w:t>
      </w:r>
    </w:p>
    <w:p w14:paraId="68670D4E" w14:textId="5F304841" w:rsidR="007C3750" w:rsidRPr="00235FF4" w:rsidRDefault="000A3350" w:rsidP="006B5C73">
      <w:pPr>
        <w:pStyle w:val="ListParagraph"/>
        <w:ind w:left="1440" w:hanging="720"/>
        <w:contextualSpacing w:val="0"/>
        <w:jc w:val="both"/>
        <w:rPr>
          <w:rFonts w:ascii="Calibri" w:hAnsi="Calibri" w:cs="Calibri"/>
        </w:rPr>
      </w:pPr>
      <w:r w:rsidRPr="00235FF4">
        <w:rPr>
          <w:rFonts w:ascii="Calibri" w:hAnsi="Calibri" w:cs="Calibri"/>
        </w:rPr>
        <w:t>6.2</w:t>
      </w:r>
      <w:r w:rsidRPr="00235FF4">
        <w:rPr>
          <w:rFonts w:ascii="Calibri" w:hAnsi="Calibri" w:cs="Calibri"/>
        </w:rPr>
        <w:tab/>
        <w:t>In contrast, a defined contribution benefit (or a DC benefit) is one where the contributions paid to provide the benefit must, of necessity, be sufficient to provide the benefit.  So, for example, if the benefit is a lump sum payable on attaining a retirement age (which could be used or must be used to purchase an annuity or pension from the plan</w:t>
      </w:r>
      <w:r w:rsidR="00E621FE" w:rsidRPr="00235FF4">
        <w:rPr>
          <w:rFonts w:ascii="Calibri" w:hAnsi="Calibri" w:cs="Calibri"/>
        </w:rPr>
        <w:t xml:space="preserve"> or may be drawn in whole or part of the lump sum), it is the amount of the </w:t>
      </w:r>
      <w:r w:rsidR="00A01138" w:rsidRPr="00235FF4">
        <w:rPr>
          <w:rFonts w:ascii="Calibri" w:hAnsi="Calibri" w:cs="Calibri"/>
        </w:rPr>
        <w:t xml:space="preserve">investments held by the plan representing those contributions (less expenses and charges) which will be available to provide the lump sum.  If the investments are shares in companies that become worthless or </w:t>
      </w:r>
      <w:r w:rsidR="00A01138" w:rsidRPr="00235FF4">
        <w:rPr>
          <w:rFonts w:ascii="Calibri" w:hAnsi="Calibri" w:cs="Calibri"/>
        </w:rPr>
        <w:lastRenderedPageBreak/>
        <w:t>are bonds where the issue</w:t>
      </w:r>
      <w:r w:rsidR="00BF432A" w:rsidRPr="00235FF4">
        <w:rPr>
          <w:rFonts w:ascii="Calibri" w:hAnsi="Calibri" w:cs="Calibri"/>
        </w:rPr>
        <w:t>r</w:t>
      </w:r>
      <w:r w:rsidR="00A01138" w:rsidRPr="00235FF4">
        <w:rPr>
          <w:rFonts w:ascii="Calibri" w:hAnsi="Calibri" w:cs="Calibri"/>
        </w:rPr>
        <w:t xml:space="preserve"> of the bonds becomes insolvent and no amount is payable out in the insolvency, then the amount payable would be zero.</w:t>
      </w:r>
      <w:r w:rsidR="000113E2">
        <w:rPr>
          <w:rStyle w:val="FootnoteReference"/>
          <w:rFonts w:ascii="Calibri" w:hAnsi="Calibri" w:cs="Calibri"/>
        </w:rPr>
        <w:footnoteReference w:id="14"/>
      </w:r>
    </w:p>
    <w:p w14:paraId="2021A61E" w14:textId="0758E9DE" w:rsidR="00A01138" w:rsidRPr="00235FF4" w:rsidRDefault="00A01138" w:rsidP="006B5C73">
      <w:pPr>
        <w:pStyle w:val="ListParagraph"/>
        <w:ind w:left="1440" w:hanging="720"/>
        <w:contextualSpacing w:val="0"/>
        <w:jc w:val="both"/>
        <w:rPr>
          <w:rFonts w:ascii="Calibri" w:hAnsi="Calibri" w:cs="Calibri"/>
        </w:rPr>
      </w:pPr>
      <w:r w:rsidRPr="00235FF4">
        <w:rPr>
          <w:rFonts w:ascii="Calibri" w:hAnsi="Calibri" w:cs="Calibri"/>
        </w:rPr>
        <w:t>6.3</w:t>
      </w:r>
      <w:r w:rsidRPr="00235FF4">
        <w:rPr>
          <w:rFonts w:ascii="Calibri" w:hAnsi="Calibri" w:cs="Calibri"/>
        </w:rPr>
        <w:tab/>
        <w:t>Where terminology becomes more difficult is where the retirement benefit looks like a DB benefit but the amount may be reduced if certain conditions are satisfied (</w:t>
      </w:r>
      <w:r w:rsidR="00094EF5" w:rsidRPr="00235FF4">
        <w:rPr>
          <w:rFonts w:ascii="Calibri" w:hAnsi="Calibri" w:cs="Calibri"/>
        </w:rPr>
        <w:t xml:space="preserve">excluding </w:t>
      </w:r>
      <w:r w:rsidR="008E0716" w:rsidRPr="00235FF4">
        <w:rPr>
          <w:rFonts w:ascii="Calibri" w:hAnsi="Calibri" w:cs="Calibri"/>
        </w:rPr>
        <w:t>for this purpose, the insolvency of the person providing the pension promise)</w:t>
      </w:r>
      <w:r w:rsidR="00F5447D" w:rsidRPr="00235FF4">
        <w:rPr>
          <w:rFonts w:ascii="Calibri" w:hAnsi="Calibri" w:cs="Calibri"/>
        </w:rPr>
        <w:t>.</w:t>
      </w:r>
    </w:p>
    <w:p w14:paraId="6F994A85" w14:textId="2D5247E3" w:rsidR="00F5447D" w:rsidRPr="00235FF4" w:rsidRDefault="00F5447D" w:rsidP="006B5C73">
      <w:pPr>
        <w:pStyle w:val="ListParagraph"/>
        <w:ind w:left="1440" w:hanging="720"/>
        <w:contextualSpacing w:val="0"/>
        <w:jc w:val="both"/>
        <w:rPr>
          <w:rFonts w:ascii="Calibri" w:hAnsi="Calibri" w:cs="Calibri"/>
        </w:rPr>
      </w:pPr>
      <w:r w:rsidRPr="00235FF4">
        <w:rPr>
          <w:rFonts w:ascii="Calibri" w:hAnsi="Calibri" w:cs="Calibri"/>
        </w:rPr>
        <w:t>6.4</w:t>
      </w:r>
      <w:r w:rsidRPr="00235FF4">
        <w:rPr>
          <w:rFonts w:ascii="Calibri" w:hAnsi="Calibri" w:cs="Calibri"/>
        </w:rPr>
        <w:tab/>
        <w:t>This type of benefit can be classified as a collective defined contribution benefit or as a conditional DB benefit.</w:t>
      </w:r>
    </w:p>
    <w:p w14:paraId="3A54C6D3" w14:textId="1FAD8CC6" w:rsidR="00F5447D" w:rsidRPr="00235FF4" w:rsidRDefault="00F5447D" w:rsidP="006B5C73">
      <w:pPr>
        <w:pStyle w:val="ListParagraph"/>
        <w:ind w:left="1440" w:hanging="720"/>
        <w:contextualSpacing w:val="0"/>
        <w:jc w:val="both"/>
        <w:rPr>
          <w:rFonts w:ascii="Calibri" w:hAnsi="Calibri" w:cs="Calibri"/>
        </w:rPr>
      </w:pPr>
      <w:r w:rsidRPr="00235FF4">
        <w:rPr>
          <w:rFonts w:ascii="Calibri" w:hAnsi="Calibri" w:cs="Calibri"/>
        </w:rPr>
        <w:t>6.5</w:t>
      </w:r>
      <w:r w:rsidRPr="00235FF4">
        <w:rPr>
          <w:rFonts w:ascii="Calibri" w:hAnsi="Calibri" w:cs="Calibri"/>
        </w:rPr>
        <w:tab/>
        <w:t xml:space="preserve">Furthermore, the “safety valves” </w:t>
      </w:r>
      <w:r w:rsidR="00964F74" w:rsidRPr="00235FF4">
        <w:rPr>
          <w:rFonts w:ascii="Calibri" w:hAnsi="Calibri" w:cs="Calibri"/>
        </w:rPr>
        <w:t>commonly included</w:t>
      </w:r>
      <w:r w:rsidR="00723B69" w:rsidRPr="00235FF4">
        <w:rPr>
          <w:rFonts w:ascii="Calibri" w:hAnsi="Calibri" w:cs="Calibri"/>
        </w:rPr>
        <w:t xml:space="preserve"> </w:t>
      </w:r>
      <w:r w:rsidR="00BA39B0" w:rsidRPr="00235FF4">
        <w:rPr>
          <w:rFonts w:ascii="Calibri" w:hAnsi="Calibri" w:cs="Calibri"/>
        </w:rPr>
        <w:t xml:space="preserve">in </w:t>
      </w:r>
      <w:r w:rsidR="00723B69" w:rsidRPr="00235FF4">
        <w:rPr>
          <w:rFonts w:ascii="Calibri" w:hAnsi="Calibri" w:cs="Calibri"/>
        </w:rPr>
        <w:t xml:space="preserve">DB pension plans </w:t>
      </w:r>
      <w:r w:rsidR="000D3CC5">
        <w:rPr>
          <w:rFonts w:ascii="Calibri" w:hAnsi="Calibri" w:cs="Calibri"/>
        </w:rPr>
        <w:t xml:space="preserve">such as </w:t>
      </w:r>
      <w:r w:rsidR="00723B69" w:rsidRPr="00235FF4">
        <w:rPr>
          <w:rFonts w:ascii="Calibri" w:hAnsi="Calibri" w:cs="Calibri"/>
        </w:rPr>
        <w:t>a reserve</w:t>
      </w:r>
      <w:r w:rsidR="00BA39B0" w:rsidRPr="00235FF4">
        <w:rPr>
          <w:rFonts w:ascii="Calibri" w:hAnsi="Calibri" w:cs="Calibri"/>
        </w:rPr>
        <w:t>d power to reduce benefits in light of adverse circumstances while the plan was ongoing</w:t>
      </w:r>
      <w:r w:rsidR="002172FB" w:rsidRPr="00235FF4">
        <w:rPr>
          <w:rFonts w:ascii="Calibri" w:hAnsi="Calibri" w:cs="Calibri"/>
        </w:rPr>
        <w:t xml:space="preserve"> (</w:t>
      </w:r>
      <w:r w:rsidR="00BA39B0" w:rsidRPr="00235FF4">
        <w:rPr>
          <w:rFonts w:ascii="Calibri" w:hAnsi="Calibri" w:cs="Calibri"/>
        </w:rPr>
        <w:t xml:space="preserve">eg the </w:t>
      </w:r>
      <w:r w:rsidR="00B12772">
        <w:rPr>
          <w:rFonts w:ascii="Calibri" w:hAnsi="Calibri" w:cs="Calibri"/>
        </w:rPr>
        <w:t xml:space="preserve">actual </w:t>
      </w:r>
      <w:r w:rsidR="00BA39B0" w:rsidRPr="00235FF4">
        <w:rPr>
          <w:rFonts w:ascii="Calibri" w:hAnsi="Calibri" w:cs="Calibri"/>
        </w:rPr>
        <w:t xml:space="preserve">investment return was lower than assumed or the plan members living longer </w:t>
      </w:r>
      <w:r w:rsidR="002172FB" w:rsidRPr="00235FF4">
        <w:rPr>
          <w:rFonts w:ascii="Calibri" w:hAnsi="Calibri" w:cs="Calibri"/>
        </w:rPr>
        <w:t xml:space="preserve">than </w:t>
      </w:r>
      <w:r w:rsidR="00BA39B0" w:rsidRPr="00235FF4">
        <w:rPr>
          <w:rFonts w:ascii="Calibri" w:hAnsi="Calibri" w:cs="Calibri"/>
        </w:rPr>
        <w:t>assumed)</w:t>
      </w:r>
      <w:r w:rsidR="002172FB" w:rsidRPr="00235FF4">
        <w:rPr>
          <w:rFonts w:ascii="Calibri" w:hAnsi="Calibri" w:cs="Calibri"/>
        </w:rPr>
        <w:t xml:space="preserve"> may have been removed by overriding legislation.</w:t>
      </w:r>
    </w:p>
    <w:p w14:paraId="38FBE051" w14:textId="17218F97" w:rsidR="002172FB" w:rsidRDefault="002172FB" w:rsidP="006B5C73">
      <w:pPr>
        <w:pStyle w:val="ListParagraph"/>
        <w:ind w:left="1440" w:hanging="720"/>
        <w:contextualSpacing w:val="0"/>
        <w:jc w:val="both"/>
        <w:rPr>
          <w:rFonts w:ascii="Calibri" w:hAnsi="Calibri" w:cs="Calibri"/>
        </w:rPr>
      </w:pPr>
      <w:r w:rsidRPr="00235FF4">
        <w:rPr>
          <w:rFonts w:ascii="Calibri" w:hAnsi="Calibri" w:cs="Calibri"/>
        </w:rPr>
        <w:t>6.6</w:t>
      </w:r>
      <w:r w:rsidRPr="00235FF4">
        <w:rPr>
          <w:rFonts w:ascii="Calibri" w:hAnsi="Calibri" w:cs="Calibri"/>
        </w:rPr>
        <w:tab/>
      </w:r>
      <w:r w:rsidR="001540CD" w:rsidRPr="00235FF4">
        <w:rPr>
          <w:rFonts w:ascii="Calibri" w:hAnsi="Calibri" w:cs="Calibri"/>
        </w:rPr>
        <w:t>In addition</w:t>
      </w:r>
      <w:r w:rsidRPr="00235FF4">
        <w:rPr>
          <w:rFonts w:ascii="Calibri" w:hAnsi="Calibri" w:cs="Calibri"/>
        </w:rPr>
        <w:t>, what may be described as a DC plan (because it depends on the level of contributions received as to the benefits to be paid</w:t>
      </w:r>
      <w:r w:rsidR="00646E4D" w:rsidRPr="00235FF4">
        <w:rPr>
          <w:rFonts w:ascii="Calibri" w:hAnsi="Calibri" w:cs="Calibri"/>
        </w:rPr>
        <w:t xml:space="preserve">) may, in practice, end up being treated as a DB plan because of the practical politics of not permitting the benefit to be reduced.  </w:t>
      </w:r>
    </w:p>
    <w:p w14:paraId="76193DB7" w14:textId="76CA78FD" w:rsidR="00306E5B" w:rsidRDefault="00306E5B" w:rsidP="006B5C73">
      <w:pPr>
        <w:pStyle w:val="ListParagraph"/>
        <w:ind w:left="1440" w:hanging="720"/>
        <w:contextualSpacing w:val="0"/>
        <w:jc w:val="both"/>
        <w:rPr>
          <w:rFonts w:ascii="Calibri" w:hAnsi="Calibri" w:cs="Calibri"/>
        </w:rPr>
      </w:pPr>
      <w:r>
        <w:rPr>
          <w:rFonts w:ascii="Calibri" w:hAnsi="Calibri" w:cs="Calibri"/>
        </w:rPr>
        <w:t>6.7</w:t>
      </w:r>
      <w:r>
        <w:rPr>
          <w:rFonts w:ascii="Calibri" w:hAnsi="Calibri" w:cs="Calibri"/>
        </w:rPr>
        <w:tab/>
        <w:t xml:space="preserve">In the US, a defined contribution plan refers only to a plan that provides for an </w:t>
      </w:r>
      <w:r w:rsidRPr="00306E5B">
        <w:rPr>
          <w:rFonts w:ascii="Calibri" w:hAnsi="Calibri" w:cs="Calibri"/>
        </w:rPr>
        <w:t>individual account for each participant and for benefits based solely on the amount contributed to the participant’s account, and any income, expenses, gains and losses, and any forfeitures of accounts of other participants which may be allocated to such participant’s account</w:t>
      </w:r>
      <w:r>
        <w:rPr>
          <w:rFonts w:ascii="Calibri" w:hAnsi="Calibri" w:cs="Calibri"/>
        </w:rPr>
        <w:t>.</w:t>
      </w:r>
      <w:bookmarkStart w:id="0" w:name="OLE_LINK6"/>
      <w:r w:rsidR="0042588E">
        <w:rPr>
          <w:rStyle w:val="FootnoteReference"/>
          <w:rFonts w:ascii="Calibri" w:hAnsi="Calibri" w:cs="Calibri"/>
        </w:rPr>
        <w:footnoteReference w:id="15"/>
      </w:r>
      <w:bookmarkEnd w:id="0"/>
      <w:r>
        <w:rPr>
          <w:rFonts w:ascii="Calibri" w:hAnsi="Calibri" w:cs="Calibri"/>
        </w:rPr>
        <w:t xml:space="preserve">  Any other type of retirement plan is referred to in the US as a defined benefit plan.</w:t>
      </w:r>
      <w:r w:rsidR="0042588E">
        <w:rPr>
          <w:rStyle w:val="FootnoteReference"/>
          <w:rFonts w:ascii="Calibri" w:hAnsi="Calibri" w:cs="Calibri"/>
        </w:rPr>
        <w:footnoteReference w:id="16"/>
      </w:r>
    </w:p>
    <w:p w14:paraId="31826E7F" w14:textId="51EE26E6" w:rsidR="00FA2E16" w:rsidRDefault="00FA2E16" w:rsidP="002E279D">
      <w:pPr>
        <w:pStyle w:val="ListParagraph"/>
        <w:ind w:hanging="720"/>
        <w:contextualSpacing w:val="0"/>
        <w:jc w:val="both"/>
        <w:rPr>
          <w:rFonts w:ascii="Calibri" w:hAnsi="Calibri" w:cs="Calibri"/>
          <w:b/>
          <w:bCs/>
          <w:u w:val="single"/>
        </w:rPr>
      </w:pPr>
      <w:r>
        <w:rPr>
          <w:rFonts w:ascii="Calibri" w:hAnsi="Calibri" w:cs="Calibri"/>
          <w:b/>
          <w:bCs/>
        </w:rPr>
        <w:t>7.</w:t>
      </w:r>
      <w:r w:rsidRPr="00235FF4">
        <w:rPr>
          <w:rFonts w:ascii="Calibri" w:hAnsi="Calibri" w:cs="Calibri"/>
          <w:b/>
          <w:bCs/>
        </w:rPr>
        <w:tab/>
      </w:r>
      <w:r w:rsidRPr="00235FF4">
        <w:rPr>
          <w:rFonts w:ascii="Calibri" w:hAnsi="Calibri" w:cs="Calibri"/>
          <w:b/>
          <w:bCs/>
          <w:u w:val="single"/>
        </w:rPr>
        <w:t>D</w:t>
      </w:r>
      <w:r w:rsidR="00630F7D">
        <w:rPr>
          <w:rFonts w:ascii="Calibri" w:hAnsi="Calibri" w:cs="Calibri"/>
          <w:b/>
          <w:bCs/>
          <w:u w:val="single"/>
        </w:rPr>
        <w:t>efined contribution or money purchase</w:t>
      </w:r>
    </w:p>
    <w:p w14:paraId="5296F870" w14:textId="6EE96DF2" w:rsidR="00630F7D" w:rsidRDefault="00630F7D" w:rsidP="00D4449D">
      <w:pPr>
        <w:pStyle w:val="ListParagraph"/>
        <w:ind w:left="1440" w:hanging="720"/>
        <w:contextualSpacing w:val="0"/>
        <w:jc w:val="both"/>
        <w:rPr>
          <w:rFonts w:ascii="Calibri" w:hAnsi="Calibri" w:cs="Calibri"/>
        </w:rPr>
      </w:pPr>
      <w:r>
        <w:rPr>
          <w:rFonts w:ascii="Calibri" w:hAnsi="Calibri" w:cs="Calibri"/>
        </w:rPr>
        <w:t xml:space="preserve">7.1 </w:t>
      </w:r>
      <w:r>
        <w:rPr>
          <w:rFonts w:ascii="Calibri" w:hAnsi="Calibri" w:cs="Calibri"/>
        </w:rPr>
        <w:tab/>
        <w:t xml:space="preserve">A defined contribution retirement benefit is conceptually the same as a money purchase </w:t>
      </w:r>
      <w:r w:rsidR="00D4449D">
        <w:rPr>
          <w:rFonts w:ascii="Calibri" w:hAnsi="Calibri" w:cs="Calibri"/>
        </w:rPr>
        <w:t xml:space="preserve">retirement </w:t>
      </w:r>
      <w:r>
        <w:rPr>
          <w:rFonts w:ascii="Calibri" w:hAnsi="Calibri" w:cs="Calibri"/>
        </w:rPr>
        <w:t>benefi</w:t>
      </w:r>
      <w:r w:rsidR="00D4449D">
        <w:rPr>
          <w:rFonts w:ascii="Calibri" w:hAnsi="Calibri" w:cs="Calibri"/>
        </w:rPr>
        <w:t>t.</w:t>
      </w:r>
    </w:p>
    <w:p w14:paraId="6667008C" w14:textId="612D18A4" w:rsidR="00FA2E16" w:rsidRDefault="00D4449D" w:rsidP="007A5BD3">
      <w:pPr>
        <w:pStyle w:val="ListParagraph"/>
        <w:ind w:left="1440" w:hanging="720"/>
        <w:contextualSpacing w:val="0"/>
        <w:jc w:val="both"/>
        <w:rPr>
          <w:rFonts w:ascii="Calibri" w:hAnsi="Calibri" w:cs="Calibri"/>
        </w:rPr>
      </w:pPr>
      <w:r>
        <w:rPr>
          <w:rFonts w:ascii="Calibri" w:hAnsi="Calibri" w:cs="Calibri"/>
        </w:rPr>
        <w:t>7.2</w:t>
      </w:r>
      <w:r>
        <w:rPr>
          <w:rFonts w:ascii="Calibri" w:hAnsi="Calibri" w:cs="Calibri"/>
        </w:rPr>
        <w:tab/>
      </w:r>
      <w:r w:rsidR="005D4161">
        <w:rPr>
          <w:rFonts w:ascii="Calibri" w:hAnsi="Calibri" w:cs="Calibri"/>
        </w:rPr>
        <w:t>Defined contribution is the term used in common parlance. However in UK legislation that term is replaced by “money purchase”</w:t>
      </w:r>
      <w:r w:rsidR="001333AF">
        <w:rPr>
          <w:rStyle w:val="FootnoteReference"/>
          <w:rFonts w:ascii="Calibri" w:hAnsi="Calibri" w:cs="Calibri"/>
        </w:rPr>
        <w:footnoteReference w:id="17"/>
      </w:r>
      <w:r w:rsidR="007A5BD3">
        <w:rPr>
          <w:rFonts w:ascii="Calibri" w:hAnsi="Calibri" w:cs="Calibri"/>
        </w:rPr>
        <w:t>.</w:t>
      </w:r>
    </w:p>
    <w:p w14:paraId="35D69B75" w14:textId="5E903552" w:rsidR="00306E5B" w:rsidRDefault="00306E5B" w:rsidP="007A5BD3">
      <w:pPr>
        <w:pStyle w:val="ListParagraph"/>
        <w:ind w:left="1440" w:hanging="720"/>
        <w:contextualSpacing w:val="0"/>
        <w:jc w:val="both"/>
        <w:rPr>
          <w:rFonts w:ascii="Calibri" w:hAnsi="Calibri" w:cs="Calibri"/>
        </w:rPr>
      </w:pPr>
      <w:r>
        <w:rPr>
          <w:rFonts w:ascii="Calibri" w:hAnsi="Calibri" w:cs="Calibri"/>
        </w:rPr>
        <w:t>7.3</w:t>
      </w:r>
      <w:r>
        <w:rPr>
          <w:rFonts w:ascii="Calibri" w:hAnsi="Calibri" w:cs="Calibri"/>
        </w:rPr>
        <w:tab/>
        <w:t xml:space="preserve">In the US, a money purchase retirement benefit is a specific type of defined contribution retirement benefit that has largely disappeared. </w:t>
      </w:r>
    </w:p>
    <w:p w14:paraId="5F4A593A" w14:textId="0257A066" w:rsidR="0093515C" w:rsidRDefault="0093515C" w:rsidP="002E279D">
      <w:pPr>
        <w:pStyle w:val="ListParagraph"/>
        <w:ind w:hanging="720"/>
        <w:contextualSpacing w:val="0"/>
        <w:jc w:val="both"/>
        <w:rPr>
          <w:rFonts w:ascii="Calibri" w:hAnsi="Calibri" w:cs="Calibri"/>
          <w:b/>
          <w:bCs/>
          <w:u w:val="single"/>
        </w:rPr>
      </w:pPr>
      <w:r>
        <w:rPr>
          <w:rFonts w:ascii="Calibri" w:hAnsi="Calibri" w:cs="Calibri"/>
          <w:b/>
          <w:bCs/>
        </w:rPr>
        <w:t>8.</w:t>
      </w:r>
      <w:r w:rsidRPr="00235FF4">
        <w:rPr>
          <w:rFonts w:ascii="Calibri" w:hAnsi="Calibri" w:cs="Calibri"/>
          <w:b/>
          <w:bCs/>
        </w:rPr>
        <w:tab/>
      </w:r>
      <w:r>
        <w:rPr>
          <w:rFonts w:ascii="Calibri" w:hAnsi="Calibri" w:cs="Calibri"/>
          <w:b/>
          <w:bCs/>
          <w:u w:val="single"/>
        </w:rPr>
        <w:t>Plan fiduciary or trustee</w:t>
      </w:r>
    </w:p>
    <w:p w14:paraId="45709844" w14:textId="495A6673" w:rsidR="0093515C" w:rsidRDefault="0093515C" w:rsidP="0093515C">
      <w:pPr>
        <w:ind w:left="1440" w:hanging="720"/>
        <w:jc w:val="both"/>
        <w:rPr>
          <w:rFonts w:ascii="Calibri" w:hAnsi="Calibri" w:cs="Calibri"/>
        </w:rPr>
      </w:pPr>
      <w:r>
        <w:rPr>
          <w:rFonts w:ascii="Calibri" w:hAnsi="Calibri" w:cs="Calibri"/>
        </w:rPr>
        <w:t xml:space="preserve">8.1 </w:t>
      </w:r>
      <w:r>
        <w:rPr>
          <w:rFonts w:ascii="Calibri" w:hAnsi="Calibri" w:cs="Calibri"/>
        </w:rPr>
        <w:tab/>
        <w:t xml:space="preserve">In the US, the person with the fiduciary obligations imposed under ERISA is the person who is the plan fiduciary in relation to the power in question under the pension plan. The trustee of the plan assets </w:t>
      </w:r>
      <w:r w:rsidR="0042588E">
        <w:rPr>
          <w:rFonts w:ascii="Calibri" w:hAnsi="Calibri" w:cs="Calibri"/>
        </w:rPr>
        <w:t xml:space="preserve">often </w:t>
      </w:r>
      <w:r>
        <w:rPr>
          <w:rFonts w:ascii="Calibri" w:hAnsi="Calibri" w:cs="Calibri"/>
        </w:rPr>
        <w:t>has the limited role of acting as custodian of the plan assets (with no investment duties</w:t>
      </w:r>
      <w:r w:rsidR="0042588E">
        <w:rPr>
          <w:rFonts w:ascii="Calibri" w:hAnsi="Calibri" w:cs="Calibri"/>
        </w:rPr>
        <w:t>)</w:t>
      </w:r>
      <w:r>
        <w:rPr>
          <w:rFonts w:ascii="Calibri" w:hAnsi="Calibri" w:cs="Calibri"/>
        </w:rPr>
        <w:t>.</w:t>
      </w:r>
      <w:r w:rsidR="0042588E">
        <w:rPr>
          <w:rFonts w:ascii="Calibri" w:hAnsi="Calibri" w:cs="Calibri"/>
        </w:rPr>
        <w:t xml:space="preserve"> Such a trustee is referred </w:t>
      </w:r>
      <w:r w:rsidR="0042588E">
        <w:rPr>
          <w:rFonts w:ascii="Calibri" w:hAnsi="Calibri" w:cs="Calibri"/>
        </w:rPr>
        <w:lastRenderedPageBreak/>
        <w:t xml:space="preserve">to as directed trustee. However, it is permissible for a trustee to be a named fiduciary with investment responsibilities (in fact this is the default under ERISA and is common for certain types of plans), which is referred to as a discretionary trustee. </w:t>
      </w:r>
    </w:p>
    <w:p w14:paraId="68B93399" w14:textId="3BCFF390" w:rsidR="0093515C" w:rsidRDefault="0093515C" w:rsidP="0093515C">
      <w:pPr>
        <w:ind w:left="1440" w:hanging="720"/>
        <w:jc w:val="both"/>
        <w:rPr>
          <w:rFonts w:ascii="Calibri" w:hAnsi="Calibri" w:cs="Calibri"/>
        </w:rPr>
      </w:pPr>
      <w:r>
        <w:rPr>
          <w:rFonts w:ascii="Calibri" w:hAnsi="Calibri" w:cs="Calibri"/>
        </w:rPr>
        <w:t xml:space="preserve">8.2 </w:t>
      </w:r>
      <w:r>
        <w:rPr>
          <w:rFonts w:ascii="Calibri" w:hAnsi="Calibri" w:cs="Calibri"/>
        </w:rPr>
        <w:tab/>
        <w:t>In contrast, in the UK the pension scheme trustee (usually a single purpose company acting through its Board of Directors) is the person in whom the investment powers are invested under the terms of the plan trust deed (and also required by legislation</w:t>
      </w:r>
      <w:r>
        <w:rPr>
          <w:rStyle w:val="FootnoteReference"/>
          <w:rFonts w:ascii="Calibri" w:hAnsi="Calibri" w:cs="Calibri"/>
        </w:rPr>
        <w:footnoteReference w:id="18"/>
      </w:r>
      <w:r w:rsidR="00783CED">
        <w:rPr>
          <w:rFonts w:ascii="Calibri" w:hAnsi="Calibri" w:cs="Calibri"/>
        </w:rPr>
        <w:t>). The trustee is required to appoint a custodian/depositary to hold the scheme assets (there are some limited exceptions).</w:t>
      </w:r>
    </w:p>
    <w:p w14:paraId="0127CD31" w14:textId="31E21EF7" w:rsidR="00783CED" w:rsidRPr="0093515C" w:rsidRDefault="00783CED" w:rsidP="0093515C">
      <w:pPr>
        <w:ind w:left="1440" w:hanging="720"/>
        <w:jc w:val="both"/>
        <w:rPr>
          <w:rFonts w:ascii="Calibri" w:hAnsi="Calibri" w:cs="Calibri"/>
        </w:rPr>
      </w:pPr>
      <w:r>
        <w:rPr>
          <w:rFonts w:ascii="Calibri" w:hAnsi="Calibri" w:cs="Calibri"/>
        </w:rPr>
        <w:t xml:space="preserve">8.3 </w:t>
      </w:r>
      <w:r>
        <w:rPr>
          <w:rFonts w:ascii="Calibri" w:hAnsi="Calibri" w:cs="Calibri"/>
        </w:rPr>
        <w:tab/>
        <w:t xml:space="preserve">So when UK lawyers are talking about pension scheme trustees they mean the plan fiduciary who determines the plan’s investment strategy. However, day to day investment management decisions </w:t>
      </w:r>
      <w:r w:rsidR="007E5DF4">
        <w:rPr>
          <w:rFonts w:ascii="Calibri" w:hAnsi="Calibri" w:cs="Calibri"/>
        </w:rPr>
        <w:t xml:space="preserve">are </w:t>
      </w:r>
      <w:r>
        <w:rPr>
          <w:rFonts w:ascii="Calibri" w:hAnsi="Calibri" w:cs="Calibri"/>
        </w:rPr>
        <w:t>usually delegated, for regulatory reasons, to an external investment manager who has the required regulatory authorisations.</w:t>
      </w:r>
    </w:p>
    <w:p w14:paraId="0F80F469" w14:textId="77777777" w:rsidR="007A5BD3" w:rsidRPr="007A5BD3" w:rsidRDefault="007A5BD3" w:rsidP="007A5BD3">
      <w:pPr>
        <w:pStyle w:val="ListParagraph"/>
        <w:ind w:left="1440" w:hanging="720"/>
        <w:contextualSpacing w:val="0"/>
        <w:jc w:val="both"/>
        <w:rPr>
          <w:rFonts w:ascii="Calibri" w:hAnsi="Calibri" w:cs="Calibri"/>
        </w:rPr>
      </w:pPr>
    </w:p>
    <w:p w14:paraId="510E60B9" w14:textId="3C67893C" w:rsidR="00091746" w:rsidRDefault="00091746" w:rsidP="00091746">
      <w:pPr>
        <w:pStyle w:val="ListParagraph"/>
        <w:ind w:left="1440" w:hanging="720"/>
        <w:contextualSpacing w:val="0"/>
        <w:jc w:val="center"/>
        <w:rPr>
          <w:rFonts w:ascii="Calibri" w:hAnsi="Calibri" w:cs="Calibri"/>
          <w:b/>
          <w:bCs/>
          <w:u w:val="single"/>
        </w:rPr>
      </w:pPr>
      <w:r w:rsidRPr="00091746">
        <w:rPr>
          <w:rFonts w:ascii="Calibri" w:hAnsi="Calibri" w:cs="Calibri"/>
          <w:b/>
          <w:bCs/>
          <w:u w:val="single"/>
        </w:rPr>
        <w:t>Part II – Some themes to draw out</w:t>
      </w:r>
      <w:r w:rsidR="007C5ADF">
        <w:rPr>
          <w:rFonts w:ascii="Calibri" w:hAnsi="Calibri" w:cs="Calibri"/>
          <w:b/>
          <w:bCs/>
          <w:u w:val="single"/>
        </w:rPr>
        <w:t xml:space="preserve"> which relate to funding of DB pension plans</w:t>
      </w:r>
    </w:p>
    <w:p w14:paraId="4118314C" w14:textId="69B1F885" w:rsidR="007C5ADF" w:rsidRPr="007C5ADF" w:rsidRDefault="007C5ADF" w:rsidP="00CD1E33">
      <w:pPr>
        <w:pStyle w:val="ListParagraph"/>
        <w:ind w:hanging="720"/>
        <w:contextualSpacing w:val="0"/>
        <w:jc w:val="both"/>
        <w:rPr>
          <w:rFonts w:ascii="Calibri" w:hAnsi="Calibri" w:cs="Calibri"/>
          <w:b/>
          <w:bCs/>
        </w:rPr>
      </w:pPr>
      <w:r w:rsidRPr="007C5ADF">
        <w:rPr>
          <w:rFonts w:ascii="Calibri" w:hAnsi="Calibri" w:cs="Calibri"/>
          <w:b/>
          <w:bCs/>
        </w:rPr>
        <w:t>A.</w:t>
      </w:r>
      <w:r w:rsidRPr="007C5ADF">
        <w:rPr>
          <w:rFonts w:ascii="Calibri" w:hAnsi="Calibri" w:cs="Calibri"/>
          <w:b/>
          <w:bCs/>
        </w:rPr>
        <w:tab/>
      </w:r>
      <w:r w:rsidRPr="00CD1E33">
        <w:rPr>
          <w:rFonts w:ascii="Calibri" w:hAnsi="Calibri" w:cs="Calibri"/>
          <w:b/>
          <w:bCs/>
          <w:u w:val="single"/>
        </w:rPr>
        <w:t>Tax</w:t>
      </w:r>
    </w:p>
    <w:p w14:paraId="7E9EF9A8" w14:textId="34E41F76" w:rsidR="00BC48A6" w:rsidRDefault="00CD1E33" w:rsidP="00646E4D">
      <w:pPr>
        <w:pStyle w:val="ListParagraph"/>
        <w:ind w:hanging="720"/>
        <w:contextualSpacing w:val="0"/>
        <w:jc w:val="both"/>
        <w:rPr>
          <w:rFonts w:ascii="Calibri" w:hAnsi="Calibri" w:cs="Calibri"/>
        </w:rPr>
      </w:pPr>
      <w:r w:rsidRPr="00CD1E33">
        <w:rPr>
          <w:rFonts w:ascii="Calibri" w:hAnsi="Calibri" w:cs="Calibri"/>
        </w:rPr>
        <w:t>1.</w:t>
      </w:r>
      <w:r w:rsidRPr="00CD1E33">
        <w:rPr>
          <w:rFonts w:ascii="Calibri" w:hAnsi="Calibri" w:cs="Calibri"/>
        </w:rPr>
        <w:tab/>
      </w:r>
      <w:r w:rsidR="00691F04">
        <w:rPr>
          <w:rFonts w:ascii="Calibri" w:hAnsi="Calibri" w:cs="Calibri"/>
        </w:rPr>
        <w:t xml:space="preserve">Tax reliefs are an important influence on </w:t>
      </w:r>
      <w:r w:rsidR="00BC48A6">
        <w:rPr>
          <w:rFonts w:ascii="Calibri" w:hAnsi="Calibri" w:cs="Calibri"/>
        </w:rPr>
        <w:t>pension plan structure</w:t>
      </w:r>
      <w:r w:rsidR="00B60FB5">
        <w:rPr>
          <w:rFonts w:ascii="Calibri" w:hAnsi="Calibri" w:cs="Calibri"/>
        </w:rPr>
        <w:t xml:space="preserve">, </w:t>
      </w:r>
      <w:r w:rsidR="00BC48A6">
        <w:rPr>
          <w:rFonts w:ascii="Calibri" w:hAnsi="Calibri" w:cs="Calibri"/>
        </w:rPr>
        <w:t xml:space="preserve"> benefit design</w:t>
      </w:r>
      <w:r w:rsidR="00B60FB5">
        <w:rPr>
          <w:rFonts w:ascii="Calibri" w:hAnsi="Calibri" w:cs="Calibri"/>
        </w:rPr>
        <w:t xml:space="preserve"> and funding</w:t>
      </w:r>
      <w:r w:rsidR="00315868">
        <w:rPr>
          <w:rFonts w:ascii="Calibri" w:hAnsi="Calibri" w:cs="Calibri"/>
        </w:rPr>
        <w:t xml:space="preserve"> of Pillar 2 and Pillar 3 pension </w:t>
      </w:r>
      <w:r w:rsidR="000C69F8">
        <w:rPr>
          <w:rFonts w:ascii="Calibri" w:hAnsi="Calibri" w:cs="Calibri"/>
        </w:rPr>
        <w:t>plans.</w:t>
      </w:r>
    </w:p>
    <w:p w14:paraId="60123549" w14:textId="250BFAC1" w:rsidR="00F95C79" w:rsidRDefault="00BC48A6" w:rsidP="00646E4D">
      <w:pPr>
        <w:pStyle w:val="ListParagraph"/>
        <w:ind w:hanging="720"/>
        <w:contextualSpacing w:val="0"/>
        <w:jc w:val="both"/>
        <w:rPr>
          <w:rFonts w:ascii="Calibri" w:hAnsi="Calibri" w:cs="Calibri"/>
        </w:rPr>
      </w:pPr>
      <w:r>
        <w:rPr>
          <w:rFonts w:ascii="Calibri" w:hAnsi="Calibri" w:cs="Calibri"/>
        </w:rPr>
        <w:t xml:space="preserve">2. </w:t>
      </w:r>
      <w:r>
        <w:rPr>
          <w:rFonts w:ascii="Calibri" w:hAnsi="Calibri" w:cs="Calibri"/>
        </w:rPr>
        <w:tab/>
      </w:r>
      <w:r w:rsidR="00CD1E33">
        <w:rPr>
          <w:rFonts w:ascii="Calibri" w:hAnsi="Calibri" w:cs="Calibri"/>
        </w:rPr>
        <w:t xml:space="preserve">A </w:t>
      </w:r>
      <w:r>
        <w:rPr>
          <w:rFonts w:ascii="Calibri" w:hAnsi="Calibri" w:cs="Calibri"/>
        </w:rPr>
        <w:t>commonly use</w:t>
      </w:r>
      <w:r w:rsidR="00B60FB5">
        <w:rPr>
          <w:rFonts w:ascii="Calibri" w:hAnsi="Calibri" w:cs="Calibri"/>
        </w:rPr>
        <w:t xml:space="preserve"> system of tax reliefs</w:t>
      </w:r>
      <w:r w:rsidR="00FF40B5">
        <w:rPr>
          <w:rFonts w:ascii="Calibri" w:hAnsi="Calibri" w:cs="Calibri"/>
        </w:rPr>
        <w:t xml:space="preserve"> </w:t>
      </w:r>
      <w:r w:rsidR="009F00E7">
        <w:rPr>
          <w:rFonts w:ascii="Calibri" w:hAnsi="Calibri" w:cs="Calibri"/>
        </w:rPr>
        <w:t>in relation to a funded DB pension plan is the</w:t>
      </w:r>
      <w:r w:rsidR="00F95C79">
        <w:rPr>
          <w:rFonts w:ascii="Calibri" w:hAnsi="Calibri" w:cs="Calibri"/>
        </w:rPr>
        <w:t xml:space="preserve"> EET system.  </w:t>
      </w:r>
    </w:p>
    <w:p w14:paraId="4E16C87B" w14:textId="77777777" w:rsidR="00F95C79" w:rsidRDefault="00F95C79" w:rsidP="00646E4D">
      <w:pPr>
        <w:pStyle w:val="ListParagraph"/>
        <w:ind w:hanging="720"/>
        <w:contextualSpacing w:val="0"/>
        <w:jc w:val="both"/>
        <w:rPr>
          <w:rFonts w:ascii="Calibri" w:hAnsi="Calibri" w:cs="Calibri"/>
        </w:rPr>
      </w:pPr>
      <w:r>
        <w:rPr>
          <w:rFonts w:ascii="Calibri" w:hAnsi="Calibri" w:cs="Calibri"/>
        </w:rPr>
        <w:t>2.</w:t>
      </w:r>
      <w:r>
        <w:rPr>
          <w:rFonts w:ascii="Calibri" w:hAnsi="Calibri" w:cs="Calibri"/>
        </w:rPr>
        <w:tab/>
        <w:t>In brief:</w:t>
      </w:r>
    </w:p>
    <w:p w14:paraId="3FA40BFE" w14:textId="5682593F" w:rsidR="007C5ADF" w:rsidRDefault="00014331" w:rsidP="00014331">
      <w:pPr>
        <w:pStyle w:val="ListParagraph"/>
        <w:numPr>
          <w:ilvl w:val="0"/>
          <w:numId w:val="11"/>
        </w:numPr>
        <w:ind w:left="1080"/>
        <w:contextualSpacing w:val="0"/>
        <w:jc w:val="both"/>
        <w:rPr>
          <w:rFonts w:ascii="Calibri" w:hAnsi="Calibri" w:cs="Calibri"/>
        </w:rPr>
      </w:pPr>
      <w:r w:rsidRPr="00014331">
        <w:rPr>
          <w:rFonts w:ascii="Calibri" w:hAnsi="Calibri" w:cs="Calibri"/>
        </w:rPr>
        <w:t>employer and employee</w:t>
      </w:r>
      <w:r w:rsidR="00DC10CA">
        <w:rPr>
          <w:rStyle w:val="FootnoteReference"/>
          <w:rFonts w:ascii="Calibri" w:hAnsi="Calibri" w:cs="Calibri"/>
        </w:rPr>
        <w:footnoteReference w:id="19"/>
      </w:r>
      <w:r w:rsidRPr="00014331">
        <w:rPr>
          <w:rFonts w:ascii="Calibri" w:hAnsi="Calibri" w:cs="Calibri"/>
        </w:rPr>
        <w:t xml:space="preserve"> contributions to the pension plan</w:t>
      </w:r>
      <w:r>
        <w:rPr>
          <w:rFonts w:ascii="Calibri" w:hAnsi="Calibri" w:cs="Calibri"/>
        </w:rPr>
        <w:t xml:space="preserve"> are</w:t>
      </w:r>
      <w:r w:rsidR="00994D18">
        <w:rPr>
          <w:rFonts w:ascii="Calibri" w:hAnsi="Calibri" w:cs="Calibri"/>
        </w:rPr>
        <w:t>,</w:t>
      </w:r>
      <w:r>
        <w:rPr>
          <w:rFonts w:ascii="Calibri" w:hAnsi="Calibri" w:cs="Calibri"/>
        </w:rPr>
        <w:t xml:space="preserve"> within certain limits</w:t>
      </w:r>
      <w:r w:rsidR="00994D18">
        <w:rPr>
          <w:rFonts w:ascii="Calibri" w:hAnsi="Calibri" w:cs="Calibri"/>
        </w:rPr>
        <w:t>,</w:t>
      </w:r>
      <w:r>
        <w:rPr>
          <w:rFonts w:ascii="Calibri" w:hAnsi="Calibri" w:cs="Calibri"/>
        </w:rPr>
        <w:t xml:space="preserve"> tax deductible (so the </w:t>
      </w:r>
      <w:r w:rsidR="00994D18">
        <w:rPr>
          <w:rFonts w:ascii="Calibri" w:hAnsi="Calibri" w:cs="Calibri"/>
        </w:rPr>
        <w:t>State</w:t>
      </w:r>
      <w:r>
        <w:rPr>
          <w:rFonts w:ascii="Calibri" w:hAnsi="Calibri" w:cs="Calibri"/>
        </w:rPr>
        <w:t xml:space="preserve"> is providing a substantial incentive to defer consumption and </w:t>
      </w:r>
      <w:r w:rsidR="00712656">
        <w:rPr>
          <w:rFonts w:ascii="Calibri" w:hAnsi="Calibri" w:cs="Calibri"/>
        </w:rPr>
        <w:t>encourage retirement provision</w:t>
      </w:r>
      <w:r>
        <w:rPr>
          <w:rFonts w:ascii="Calibri" w:hAnsi="Calibri" w:cs="Calibri"/>
        </w:rPr>
        <w:t>),</w:t>
      </w:r>
    </w:p>
    <w:p w14:paraId="5B125394" w14:textId="24AA1C20" w:rsidR="00014331" w:rsidRDefault="00014331" w:rsidP="00014331">
      <w:pPr>
        <w:pStyle w:val="ListParagraph"/>
        <w:numPr>
          <w:ilvl w:val="0"/>
          <w:numId w:val="11"/>
        </w:numPr>
        <w:ind w:left="1080"/>
        <w:contextualSpacing w:val="0"/>
        <w:jc w:val="both"/>
        <w:rPr>
          <w:rFonts w:ascii="Calibri" w:hAnsi="Calibri" w:cs="Calibri"/>
        </w:rPr>
      </w:pPr>
      <w:r>
        <w:rPr>
          <w:rFonts w:ascii="Calibri" w:hAnsi="Calibri" w:cs="Calibri"/>
        </w:rPr>
        <w:t xml:space="preserve">the investment </w:t>
      </w:r>
      <w:r w:rsidR="00AE2389">
        <w:rPr>
          <w:rFonts w:ascii="Calibri" w:hAnsi="Calibri" w:cs="Calibri"/>
        </w:rPr>
        <w:t>income and investment gains earned on the contributions to the pension plan are tax exempt</w:t>
      </w:r>
      <w:r w:rsidR="00712656">
        <w:rPr>
          <w:rFonts w:ascii="Calibri" w:hAnsi="Calibri" w:cs="Calibri"/>
        </w:rPr>
        <w:t xml:space="preserve"> (trading income</w:t>
      </w:r>
      <w:r w:rsidR="002526E6">
        <w:rPr>
          <w:rFonts w:ascii="Calibri" w:hAnsi="Calibri" w:cs="Calibri"/>
        </w:rPr>
        <w:t xml:space="preserve"> and gains</w:t>
      </w:r>
      <w:r w:rsidR="00712656">
        <w:rPr>
          <w:rFonts w:ascii="Calibri" w:hAnsi="Calibri" w:cs="Calibri"/>
        </w:rPr>
        <w:t xml:space="preserve"> </w:t>
      </w:r>
      <w:r w:rsidR="002526E6">
        <w:rPr>
          <w:rFonts w:ascii="Calibri" w:hAnsi="Calibri" w:cs="Calibri"/>
        </w:rPr>
        <w:t>are usually taxable).</w:t>
      </w:r>
    </w:p>
    <w:p w14:paraId="57806550" w14:textId="52E23E37" w:rsidR="00AE2389" w:rsidRDefault="00AE2389" w:rsidP="00014331">
      <w:pPr>
        <w:pStyle w:val="ListParagraph"/>
        <w:numPr>
          <w:ilvl w:val="0"/>
          <w:numId w:val="11"/>
        </w:numPr>
        <w:ind w:left="1080"/>
        <w:contextualSpacing w:val="0"/>
        <w:jc w:val="both"/>
        <w:rPr>
          <w:rFonts w:ascii="Calibri" w:hAnsi="Calibri" w:cs="Calibri"/>
        </w:rPr>
      </w:pPr>
      <w:r>
        <w:rPr>
          <w:rFonts w:ascii="Calibri" w:hAnsi="Calibri" w:cs="Calibri"/>
        </w:rPr>
        <w:t>the retirement benefit when paid out is subject to tax ( or in some jurisdictions pa</w:t>
      </w:r>
      <w:r w:rsidR="003F1C3C">
        <w:rPr>
          <w:rFonts w:ascii="Calibri" w:hAnsi="Calibri" w:cs="Calibri"/>
        </w:rPr>
        <w:t>rt may be drawn as a lump sum without tax up to certain limits and the balance is taxable).</w:t>
      </w:r>
    </w:p>
    <w:p w14:paraId="71A54794" w14:textId="0446D132" w:rsidR="003F1C3C" w:rsidRPr="003F1C3C" w:rsidRDefault="003F1C3C" w:rsidP="000E422F">
      <w:pPr>
        <w:ind w:left="720" w:hanging="720"/>
        <w:jc w:val="both"/>
        <w:rPr>
          <w:rFonts w:ascii="Calibri" w:hAnsi="Calibri" w:cs="Calibri"/>
        </w:rPr>
      </w:pPr>
      <w:r>
        <w:rPr>
          <w:rFonts w:ascii="Calibri" w:hAnsi="Calibri" w:cs="Calibri"/>
        </w:rPr>
        <w:t>3.</w:t>
      </w:r>
      <w:r>
        <w:rPr>
          <w:rFonts w:ascii="Calibri" w:hAnsi="Calibri" w:cs="Calibri"/>
        </w:rPr>
        <w:tab/>
      </w:r>
      <w:r w:rsidR="000E422F">
        <w:rPr>
          <w:rFonts w:ascii="Calibri" w:hAnsi="Calibri" w:cs="Calibri"/>
        </w:rPr>
        <w:t>A</w:t>
      </w:r>
      <w:r w:rsidR="00315868">
        <w:rPr>
          <w:rFonts w:ascii="Calibri" w:hAnsi="Calibri" w:cs="Calibri"/>
        </w:rPr>
        <w:t xml:space="preserve">t the </w:t>
      </w:r>
      <w:r w:rsidR="000E422F">
        <w:rPr>
          <w:rFonts w:ascii="Calibri" w:hAnsi="Calibri" w:cs="Calibri"/>
        </w:rPr>
        <w:t>risk of stating the obvious, t</w:t>
      </w:r>
      <w:r>
        <w:rPr>
          <w:rFonts w:ascii="Calibri" w:hAnsi="Calibri" w:cs="Calibri"/>
        </w:rPr>
        <w:t xml:space="preserve">he tax regime of a particular jurisdiction will affect the design of </w:t>
      </w:r>
      <w:r w:rsidR="000E422F">
        <w:rPr>
          <w:rFonts w:ascii="Calibri" w:hAnsi="Calibri" w:cs="Calibri"/>
        </w:rPr>
        <w:t>Pillar 2 and Pillar 3 pension plans in that jurisdiction.</w:t>
      </w:r>
    </w:p>
    <w:p w14:paraId="6066F5AB" w14:textId="66E1AF44" w:rsidR="00043818" w:rsidRPr="00043818" w:rsidRDefault="00752153" w:rsidP="00AA3219">
      <w:pPr>
        <w:pStyle w:val="ListParagraph"/>
        <w:ind w:hanging="720"/>
        <w:contextualSpacing w:val="0"/>
        <w:jc w:val="both"/>
        <w:rPr>
          <w:rFonts w:ascii="Calibri" w:hAnsi="Calibri" w:cs="Calibri"/>
          <w:b/>
          <w:bCs/>
          <w:u w:val="single"/>
        </w:rPr>
      </w:pPr>
      <w:r>
        <w:rPr>
          <w:rFonts w:ascii="Calibri" w:hAnsi="Calibri" w:cs="Calibri"/>
          <w:b/>
          <w:bCs/>
        </w:rPr>
        <w:t>B</w:t>
      </w:r>
      <w:r w:rsidR="00AA3219" w:rsidRPr="00235FF4">
        <w:rPr>
          <w:rFonts w:ascii="Calibri" w:hAnsi="Calibri" w:cs="Calibri"/>
          <w:b/>
          <w:bCs/>
        </w:rPr>
        <w:t>.</w:t>
      </w:r>
      <w:r w:rsidR="00AA3219" w:rsidRPr="00235FF4">
        <w:rPr>
          <w:rFonts w:ascii="Calibri" w:hAnsi="Calibri" w:cs="Calibri"/>
          <w:b/>
          <w:bCs/>
        </w:rPr>
        <w:tab/>
      </w:r>
      <w:r w:rsidR="00043818" w:rsidRPr="00043818">
        <w:rPr>
          <w:rFonts w:ascii="Calibri" w:hAnsi="Calibri" w:cs="Calibri"/>
          <w:b/>
          <w:bCs/>
          <w:u w:val="single"/>
        </w:rPr>
        <w:t xml:space="preserve">Funding of DB </w:t>
      </w:r>
      <w:r w:rsidR="007E5DF4">
        <w:rPr>
          <w:rFonts w:ascii="Calibri" w:hAnsi="Calibri" w:cs="Calibri"/>
          <w:b/>
          <w:bCs/>
          <w:u w:val="single"/>
        </w:rPr>
        <w:t>benefits</w:t>
      </w:r>
    </w:p>
    <w:p w14:paraId="2E03DE37" w14:textId="032DA7B1" w:rsidR="00043818" w:rsidRDefault="00043818" w:rsidP="000C69F8">
      <w:pPr>
        <w:ind w:left="720" w:hanging="720"/>
        <w:jc w:val="both"/>
        <w:rPr>
          <w:rFonts w:ascii="Calibri" w:hAnsi="Calibri" w:cs="Calibri"/>
        </w:rPr>
      </w:pPr>
      <w:r>
        <w:rPr>
          <w:rFonts w:ascii="Calibri" w:hAnsi="Calibri" w:cs="Calibri"/>
        </w:rPr>
        <w:t>1.</w:t>
      </w:r>
      <w:r>
        <w:rPr>
          <w:rFonts w:ascii="Calibri" w:hAnsi="Calibri" w:cs="Calibri"/>
        </w:rPr>
        <w:tab/>
        <w:t>A DB benefit earned by an employee in r</w:t>
      </w:r>
      <w:r w:rsidR="005B4C9F">
        <w:rPr>
          <w:rFonts w:ascii="Calibri" w:hAnsi="Calibri" w:cs="Calibri"/>
        </w:rPr>
        <w:t>espect of</w:t>
      </w:r>
      <w:r w:rsidR="00D16FE8">
        <w:rPr>
          <w:rFonts w:ascii="Calibri" w:hAnsi="Calibri" w:cs="Calibri"/>
        </w:rPr>
        <w:t xml:space="preserve"> a particular year of employment will not come int</w:t>
      </w:r>
      <w:r w:rsidR="00110A71">
        <w:rPr>
          <w:rFonts w:ascii="Calibri" w:hAnsi="Calibri" w:cs="Calibri"/>
        </w:rPr>
        <w:t xml:space="preserve">o payment </w:t>
      </w:r>
      <w:r w:rsidR="00D16FE8">
        <w:rPr>
          <w:rFonts w:ascii="Calibri" w:hAnsi="Calibri" w:cs="Calibri"/>
        </w:rPr>
        <w:t>until</w:t>
      </w:r>
      <w:r w:rsidR="006B145D">
        <w:rPr>
          <w:rFonts w:ascii="Calibri" w:hAnsi="Calibri" w:cs="Calibri"/>
        </w:rPr>
        <w:t xml:space="preserve"> a number of</w:t>
      </w:r>
      <w:r w:rsidR="00110A71">
        <w:rPr>
          <w:rFonts w:ascii="Calibri" w:hAnsi="Calibri" w:cs="Calibri"/>
        </w:rPr>
        <w:t xml:space="preserve"> years after it has been earned</w:t>
      </w:r>
      <w:r w:rsidR="00C8040C">
        <w:rPr>
          <w:rFonts w:ascii="Calibri" w:hAnsi="Calibri" w:cs="Calibri"/>
        </w:rPr>
        <w:t xml:space="preserve">; for example, </w:t>
      </w:r>
      <w:r w:rsidR="00E44E1B">
        <w:rPr>
          <w:rFonts w:ascii="Calibri" w:hAnsi="Calibri" w:cs="Calibri"/>
        </w:rPr>
        <w:t xml:space="preserve">30 plus years for benefits earned when an employee is </w:t>
      </w:r>
      <w:r w:rsidR="00C8040C">
        <w:rPr>
          <w:rFonts w:ascii="Calibri" w:hAnsi="Calibri" w:cs="Calibri"/>
        </w:rPr>
        <w:t>aged under 30.</w:t>
      </w:r>
    </w:p>
    <w:p w14:paraId="70341A91" w14:textId="7DC8396C" w:rsidR="00110A71" w:rsidRDefault="00110A71" w:rsidP="00D16FE8">
      <w:pPr>
        <w:ind w:left="720" w:hanging="720"/>
        <w:jc w:val="both"/>
        <w:rPr>
          <w:rFonts w:ascii="Calibri" w:hAnsi="Calibri" w:cs="Calibri"/>
        </w:rPr>
      </w:pPr>
      <w:r>
        <w:rPr>
          <w:rFonts w:ascii="Calibri" w:hAnsi="Calibri" w:cs="Calibri"/>
        </w:rPr>
        <w:lastRenderedPageBreak/>
        <w:t>2.</w:t>
      </w:r>
      <w:r>
        <w:rPr>
          <w:rFonts w:ascii="Calibri" w:hAnsi="Calibri" w:cs="Calibri"/>
        </w:rPr>
        <w:tab/>
        <w:t>Once in payment, if in pension form, the pension will</w:t>
      </w:r>
      <w:r w:rsidR="00890910">
        <w:rPr>
          <w:rFonts w:ascii="Calibri" w:hAnsi="Calibri" w:cs="Calibri"/>
        </w:rPr>
        <w:t>, usually, be payable for the life of that retired employee</w:t>
      </w:r>
      <w:r w:rsidR="001D0297">
        <w:rPr>
          <w:rStyle w:val="FootnoteReference"/>
          <w:rFonts w:ascii="Calibri" w:hAnsi="Calibri" w:cs="Calibri"/>
        </w:rPr>
        <w:footnoteReference w:id="20"/>
      </w:r>
      <w:r w:rsidR="00890910">
        <w:rPr>
          <w:rFonts w:ascii="Calibri" w:hAnsi="Calibri" w:cs="Calibri"/>
        </w:rPr>
        <w:t>.</w:t>
      </w:r>
      <w:r w:rsidR="00C86730">
        <w:rPr>
          <w:rFonts w:ascii="Calibri" w:hAnsi="Calibri" w:cs="Calibri"/>
        </w:rPr>
        <w:t xml:space="preserve"> </w:t>
      </w:r>
      <w:r w:rsidR="00890910">
        <w:rPr>
          <w:rFonts w:ascii="Calibri" w:hAnsi="Calibri" w:cs="Calibri"/>
        </w:rPr>
        <w:t xml:space="preserve">That retired employee may have a life expectancy </w:t>
      </w:r>
      <w:r w:rsidR="00B01DE4">
        <w:rPr>
          <w:rFonts w:ascii="Calibri" w:hAnsi="Calibri" w:cs="Calibri"/>
        </w:rPr>
        <w:t xml:space="preserve">at the time of retirement of </w:t>
      </w:r>
      <w:r w:rsidR="00C86730">
        <w:rPr>
          <w:rFonts w:ascii="Calibri" w:hAnsi="Calibri" w:cs="Calibri"/>
        </w:rPr>
        <w:t xml:space="preserve">20 </w:t>
      </w:r>
      <w:r w:rsidR="00B01DE4">
        <w:rPr>
          <w:rFonts w:ascii="Calibri" w:hAnsi="Calibri" w:cs="Calibri"/>
        </w:rPr>
        <w:t>or more years.</w:t>
      </w:r>
    </w:p>
    <w:p w14:paraId="2BE06D29" w14:textId="5DA7CA01" w:rsidR="00B01DE4" w:rsidRDefault="00B01DE4" w:rsidP="00D16FE8">
      <w:pPr>
        <w:ind w:left="720" w:hanging="720"/>
        <w:jc w:val="both"/>
        <w:rPr>
          <w:rFonts w:ascii="Calibri" w:hAnsi="Calibri" w:cs="Calibri"/>
        </w:rPr>
      </w:pPr>
      <w:r>
        <w:rPr>
          <w:rFonts w:ascii="Calibri" w:hAnsi="Calibri" w:cs="Calibri"/>
        </w:rPr>
        <w:t>3.</w:t>
      </w:r>
      <w:r>
        <w:rPr>
          <w:rFonts w:ascii="Calibri" w:hAnsi="Calibri" w:cs="Calibri"/>
        </w:rPr>
        <w:tab/>
        <w:t>To determine the contribution rates needed to finance one year’s accrual of DB benefit</w:t>
      </w:r>
      <w:r w:rsidR="005A5702">
        <w:rPr>
          <w:rFonts w:ascii="Calibri" w:hAnsi="Calibri" w:cs="Calibri"/>
        </w:rPr>
        <w:t xml:space="preserve"> requires assumptions to be made as to how the future will unfold.  The key assumptions include:</w:t>
      </w:r>
    </w:p>
    <w:p w14:paraId="7E1FDA5E" w14:textId="6A75A8EC" w:rsidR="005A5702" w:rsidRDefault="005A5702" w:rsidP="005A5702">
      <w:pPr>
        <w:pStyle w:val="ListParagraph"/>
        <w:numPr>
          <w:ilvl w:val="0"/>
          <w:numId w:val="12"/>
        </w:numPr>
        <w:ind w:left="1080"/>
        <w:jc w:val="both"/>
        <w:rPr>
          <w:rFonts w:ascii="Calibri" w:hAnsi="Calibri" w:cs="Calibri"/>
        </w:rPr>
      </w:pPr>
      <w:r>
        <w:rPr>
          <w:rFonts w:ascii="Calibri" w:hAnsi="Calibri" w:cs="Calibri"/>
        </w:rPr>
        <w:t>how long any pension will be paid</w:t>
      </w:r>
      <w:r w:rsidR="00B72061">
        <w:rPr>
          <w:rFonts w:ascii="Calibri" w:hAnsi="Calibri" w:cs="Calibri"/>
        </w:rPr>
        <w:t xml:space="preserve"> (ie how long will the recipient live from when the pension starts), and</w:t>
      </w:r>
    </w:p>
    <w:p w14:paraId="70E608CD" w14:textId="2854107C" w:rsidR="00B72061" w:rsidRDefault="00B72061" w:rsidP="005A5702">
      <w:pPr>
        <w:pStyle w:val="ListParagraph"/>
        <w:numPr>
          <w:ilvl w:val="0"/>
          <w:numId w:val="12"/>
        </w:numPr>
        <w:ind w:left="1080"/>
        <w:jc w:val="both"/>
        <w:rPr>
          <w:rFonts w:ascii="Calibri" w:hAnsi="Calibri" w:cs="Calibri"/>
        </w:rPr>
      </w:pPr>
      <w:r>
        <w:rPr>
          <w:rFonts w:ascii="Calibri" w:hAnsi="Calibri" w:cs="Calibri"/>
        </w:rPr>
        <w:t>what rate of investment return will be earned on the contributions which are paid to the pension plan to finance the retirement benefit.</w:t>
      </w:r>
    </w:p>
    <w:p w14:paraId="0BBEE7D9" w14:textId="3F555A1F" w:rsidR="009A0531" w:rsidRDefault="00B72061" w:rsidP="007E5172">
      <w:pPr>
        <w:ind w:left="720" w:hanging="720"/>
        <w:jc w:val="both"/>
        <w:rPr>
          <w:rFonts w:ascii="Calibri" w:hAnsi="Calibri" w:cs="Calibri"/>
        </w:rPr>
      </w:pPr>
      <w:r>
        <w:rPr>
          <w:rFonts w:ascii="Calibri" w:hAnsi="Calibri" w:cs="Calibri"/>
        </w:rPr>
        <w:t>4.</w:t>
      </w:r>
      <w:r>
        <w:rPr>
          <w:rFonts w:ascii="Calibri" w:hAnsi="Calibri" w:cs="Calibri"/>
        </w:rPr>
        <w:tab/>
        <w:t>Using the key assumptions, it is then possible to work backwards</w:t>
      </w:r>
      <w:r w:rsidR="00916BEC">
        <w:rPr>
          <w:rFonts w:ascii="Calibri" w:hAnsi="Calibri" w:cs="Calibri"/>
        </w:rPr>
        <w:t xml:space="preserve"> to a measuring point </w:t>
      </w:r>
      <w:r>
        <w:rPr>
          <w:rFonts w:ascii="Calibri" w:hAnsi="Calibri" w:cs="Calibri"/>
        </w:rPr>
        <w:t xml:space="preserve"> from the projected </w:t>
      </w:r>
      <w:r w:rsidR="007E5172">
        <w:rPr>
          <w:rFonts w:ascii="Calibri" w:hAnsi="Calibri" w:cs="Calibri"/>
        </w:rPr>
        <w:t>amounts of retirement benefit to be paid out and the expected investment return to be earned on the contribution</w:t>
      </w:r>
      <w:r w:rsidR="006D1105">
        <w:rPr>
          <w:rFonts w:ascii="Calibri" w:hAnsi="Calibri" w:cs="Calibri"/>
        </w:rPr>
        <w:t>s</w:t>
      </w:r>
      <w:r w:rsidR="007E5172">
        <w:rPr>
          <w:rFonts w:ascii="Calibri" w:hAnsi="Calibri" w:cs="Calibri"/>
        </w:rPr>
        <w:t xml:space="preserve"> to determine</w:t>
      </w:r>
      <w:r w:rsidR="00050FAB">
        <w:rPr>
          <w:rFonts w:ascii="Calibri" w:hAnsi="Calibri" w:cs="Calibri"/>
        </w:rPr>
        <w:t xml:space="preserve">: </w:t>
      </w:r>
    </w:p>
    <w:p w14:paraId="48628BC9" w14:textId="054F6EFE" w:rsidR="00B72061" w:rsidRDefault="009A0531" w:rsidP="009A0531">
      <w:pPr>
        <w:pStyle w:val="ListParagraph"/>
        <w:numPr>
          <w:ilvl w:val="0"/>
          <w:numId w:val="13"/>
        </w:numPr>
        <w:ind w:left="1080"/>
        <w:jc w:val="both"/>
        <w:rPr>
          <w:rFonts w:ascii="Calibri" w:hAnsi="Calibri" w:cs="Calibri"/>
        </w:rPr>
      </w:pPr>
      <w:r>
        <w:rPr>
          <w:rFonts w:ascii="Calibri" w:hAnsi="Calibri" w:cs="Calibri"/>
        </w:rPr>
        <w:t>the present amount as at that measuring point</w:t>
      </w:r>
      <w:r w:rsidR="00050FAB">
        <w:rPr>
          <w:rFonts w:ascii="Calibri" w:hAnsi="Calibri" w:cs="Calibri"/>
        </w:rPr>
        <w:t xml:space="preserve"> (or valuation date)</w:t>
      </w:r>
      <w:r>
        <w:rPr>
          <w:rFonts w:ascii="Calibri" w:hAnsi="Calibri" w:cs="Calibri"/>
        </w:rPr>
        <w:t xml:space="preserve"> of </w:t>
      </w:r>
      <w:r w:rsidR="00033FA4">
        <w:rPr>
          <w:rFonts w:ascii="Calibri" w:hAnsi="Calibri" w:cs="Calibri"/>
        </w:rPr>
        <w:t>those future retirement benefit obligations, and</w:t>
      </w:r>
    </w:p>
    <w:p w14:paraId="1C5E84CE" w14:textId="08F8505A" w:rsidR="00033FA4" w:rsidRDefault="00033FA4" w:rsidP="009A0531">
      <w:pPr>
        <w:pStyle w:val="ListParagraph"/>
        <w:numPr>
          <w:ilvl w:val="0"/>
          <w:numId w:val="13"/>
        </w:numPr>
        <w:ind w:left="1080"/>
        <w:jc w:val="both"/>
        <w:rPr>
          <w:rFonts w:ascii="Calibri" w:hAnsi="Calibri" w:cs="Calibri"/>
        </w:rPr>
      </w:pPr>
      <w:r>
        <w:rPr>
          <w:rFonts w:ascii="Calibri" w:hAnsi="Calibri" w:cs="Calibri"/>
        </w:rPr>
        <w:t>to compare that amount with the value, as at the same measuring point, of the assets set aside to fund those retirement benefits.</w:t>
      </w:r>
    </w:p>
    <w:p w14:paraId="63143CCB" w14:textId="58A7D37B" w:rsidR="00033FA4" w:rsidRDefault="00033FA4" w:rsidP="00033FA4">
      <w:pPr>
        <w:jc w:val="both"/>
        <w:rPr>
          <w:rFonts w:ascii="Calibri" w:hAnsi="Calibri" w:cs="Calibri"/>
        </w:rPr>
      </w:pPr>
      <w:r>
        <w:rPr>
          <w:rFonts w:ascii="Calibri" w:hAnsi="Calibri" w:cs="Calibri"/>
        </w:rPr>
        <w:t>5.</w:t>
      </w:r>
      <w:r>
        <w:rPr>
          <w:rFonts w:ascii="Calibri" w:hAnsi="Calibri" w:cs="Calibri"/>
        </w:rPr>
        <w:tab/>
        <w:t>Some points to draw out are:</w:t>
      </w:r>
    </w:p>
    <w:p w14:paraId="0B632637" w14:textId="1827F9E1" w:rsidR="00033FA4" w:rsidRDefault="00846EB5" w:rsidP="001C1437">
      <w:pPr>
        <w:pStyle w:val="ListParagraph"/>
        <w:numPr>
          <w:ilvl w:val="0"/>
          <w:numId w:val="14"/>
        </w:numPr>
        <w:ind w:left="1080"/>
        <w:jc w:val="both"/>
        <w:rPr>
          <w:rFonts w:ascii="Calibri" w:hAnsi="Calibri" w:cs="Calibri"/>
        </w:rPr>
      </w:pPr>
      <w:r>
        <w:rPr>
          <w:rFonts w:ascii="Calibri" w:hAnsi="Calibri" w:cs="Calibri"/>
        </w:rPr>
        <w:t>the obligations to pay retirement benefits in the future can be categorised</w:t>
      </w:r>
      <w:r w:rsidR="006C0687">
        <w:rPr>
          <w:rFonts w:ascii="Calibri" w:hAnsi="Calibri" w:cs="Calibri"/>
        </w:rPr>
        <w:t xml:space="preserve"> or described</w:t>
      </w:r>
      <w:r>
        <w:rPr>
          <w:rFonts w:ascii="Calibri" w:hAnsi="Calibri" w:cs="Calibri"/>
        </w:rPr>
        <w:t xml:space="preserve"> as the liabilities of the pension plan,</w:t>
      </w:r>
    </w:p>
    <w:p w14:paraId="077A882D" w14:textId="597D1842" w:rsidR="00846EB5" w:rsidRDefault="00846EB5" w:rsidP="001C1437">
      <w:pPr>
        <w:pStyle w:val="ListParagraph"/>
        <w:numPr>
          <w:ilvl w:val="0"/>
          <w:numId w:val="14"/>
        </w:numPr>
        <w:ind w:left="1080"/>
        <w:jc w:val="both"/>
        <w:rPr>
          <w:rFonts w:ascii="Calibri" w:hAnsi="Calibri" w:cs="Calibri"/>
        </w:rPr>
      </w:pPr>
      <w:r>
        <w:rPr>
          <w:rFonts w:ascii="Calibri" w:hAnsi="Calibri" w:cs="Calibri"/>
        </w:rPr>
        <w:t xml:space="preserve">the </w:t>
      </w:r>
      <w:r w:rsidR="00170F6E">
        <w:rPr>
          <w:rFonts w:ascii="Calibri" w:hAnsi="Calibri" w:cs="Calibri"/>
        </w:rPr>
        <w:t>present amount of those liabilities as at a measuring point is the provision (</w:t>
      </w:r>
      <w:r w:rsidR="0099640A">
        <w:rPr>
          <w:rFonts w:ascii="Calibri" w:hAnsi="Calibri" w:cs="Calibri"/>
        </w:rPr>
        <w:t xml:space="preserve">often referred to as the technical provision) to be made in respect of those </w:t>
      </w:r>
      <w:r w:rsidR="000213E1">
        <w:rPr>
          <w:rFonts w:ascii="Calibri" w:hAnsi="Calibri" w:cs="Calibri"/>
        </w:rPr>
        <w:t>liabilities</w:t>
      </w:r>
      <w:r w:rsidR="00D716B2">
        <w:rPr>
          <w:rFonts w:ascii="Calibri" w:hAnsi="Calibri" w:cs="Calibri"/>
        </w:rPr>
        <w:t xml:space="preserve">, </w:t>
      </w:r>
      <w:r w:rsidR="0099640A">
        <w:rPr>
          <w:rFonts w:ascii="Calibri" w:hAnsi="Calibri" w:cs="Calibri"/>
        </w:rPr>
        <w:t xml:space="preserve"> and</w:t>
      </w:r>
    </w:p>
    <w:p w14:paraId="7B37B597" w14:textId="4DB66F1C" w:rsidR="0099640A" w:rsidRDefault="00216ED7" w:rsidP="001C1437">
      <w:pPr>
        <w:pStyle w:val="ListParagraph"/>
        <w:numPr>
          <w:ilvl w:val="0"/>
          <w:numId w:val="14"/>
        </w:numPr>
        <w:ind w:left="1080"/>
        <w:jc w:val="both"/>
        <w:rPr>
          <w:rFonts w:ascii="Calibri" w:hAnsi="Calibri" w:cs="Calibri"/>
        </w:rPr>
      </w:pPr>
      <w:r>
        <w:rPr>
          <w:rFonts w:ascii="Calibri" w:hAnsi="Calibri" w:cs="Calibri"/>
        </w:rPr>
        <w:t>a discount</w:t>
      </w:r>
      <w:r w:rsidR="00247372">
        <w:rPr>
          <w:rFonts w:ascii="Calibri" w:hAnsi="Calibri" w:cs="Calibri"/>
        </w:rPr>
        <w:t xml:space="preserve"> </w:t>
      </w:r>
      <w:r w:rsidR="0099640A">
        <w:rPr>
          <w:rFonts w:ascii="Calibri" w:hAnsi="Calibri" w:cs="Calibri"/>
        </w:rPr>
        <w:t xml:space="preserve">rate used to discount those future payment </w:t>
      </w:r>
      <w:r w:rsidR="00844632">
        <w:rPr>
          <w:rFonts w:ascii="Calibri" w:hAnsi="Calibri" w:cs="Calibri"/>
        </w:rPr>
        <w:t>obligations back to their present amount as at a measuring point</w:t>
      </w:r>
      <w:r>
        <w:rPr>
          <w:rFonts w:ascii="Calibri" w:hAnsi="Calibri" w:cs="Calibri"/>
        </w:rPr>
        <w:t xml:space="preserve">. </w:t>
      </w:r>
      <w:r w:rsidR="00844632">
        <w:rPr>
          <w:rFonts w:ascii="Calibri" w:hAnsi="Calibri" w:cs="Calibri"/>
        </w:rPr>
        <w:t xml:space="preserve">  </w:t>
      </w:r>
    </w:p>
    <w:p w14:paraId="6A8BF6C7" w14:textId="4F919B7F" w:rsidR="00844632" w:rsidRDefault="00D716B2" w:rsidP="00D716B2">
      <w:pPr>
        <w:ind w:left="720" w:hanging="720"/>
        <w:jc w:val="both"/>
        <w:rPr>
          <w:rFonts w:ascii="Calibri" w:hAnsi="Calibri" w:cs="Calibri"/>
        </w:rPr>
      </w:pPr>
      <w:r>
        <w:rPr>
          <w:rFonts w:ascii="Calibri" w:hAnsi="Calibri" w:cs="Calibri"/>
        </w:rPr>
        <w:t>6.</w:t>
      </w:r>
      <w:r>
        <w:rPr>
          <w:rFonts w:ascii="Calibri" w:hAnsi="Calibri" w:cs="Calibri"/>
        </w:rPr>
        <w:tab/>
      </w:r>
      <w:r w:rsidR="006C7C89">
        <w:rPr>
          <w:rFonts w:ascii="Calibri" w:hAnsi="Calibri" w:cs="Calibri"/>
        </w:rPr>
        <w:t xml:space="preserve">An important point to draw out is that the discount rate chosen does not affect the amount of the instalments of the retirement benefits to be paid in the future.  It is simply the yardstick to measure whether enough money has been set aside </w:t>
      </w:r>
      <w:r w:rsidR="002456D3">
        <w:rPr>
          <w:rFonts w:ascii="Calibri" w:hAnsi="Calibri" w:cs="Calibri"/>
        </w:rPr>
        <w:t xml:space="preserve"> (the technical provision) </w:t>
      </w:r>
      <w:r w:rsidR="00D906EC">
        <w:rPr>
          <w:rFonts w:ascii="Calibri" w:hAnsi="Calibri" w:cs="Calibri"/>
        </w:rPr>
        <w:t xml:space="preserve">to fund </w:t>
      </w:r>
      <w:r w:rsidR="006C7C89">
        <w:rPr>
          <w:rFonts w:ascii="Calibri" w:hAnsi="Calibri" w:cs="Calibri"/>
        </w:rPr>
        <w:t>those benefits</w:t>
      </w:r>
      <w:r w:rsidR="00D97A5D">
        <w:rPr>
          <w:rFonts w:ascii="Calibri" w:hAnsi="Calibri" w:cs="Calibri"/>
        </w:rPr>
        <w:t xml:space="preserve"> after making assumptions as to the future (including</w:t>
      </w:r>
      <w:r w:rsidR="00D906EC">
        <w:rPr>
          <w:rFonts w:ascii="Calibri" w:hAnsi="Calibri" w:cs="Calibri"/>
        </w:rPr>
        <w:t xml:space="preserve">, for example, </w:t>
      </w:r>
      <w:r w:rsidR="00D97A5D">
        <w:rPr>
          <w:rFonts w:ascii="Calibri" w:hAnsi="Calibri" w:cs="Calibri"/>
        </w:rPr>
        <w:t xml:space="preserve"> how long </w:t>
      </w:r>
      <w:r w:rsidR="00752153">
        <w:rPr>
          <w:rFonts w:ascii="Calibri" w:hAnsi="Calibri" w:cs="Calibri"/>
        </w:rPr>
        <w:t>the recipients of the retirement benefits will live).</w:t>
      </w:r>
    </w:p>
    <w:p w14:paraId="7EF3840F" w14:textId="77777777" w:rsidR="00752153" w:rsidRPr="00235FF4" w:rsidRDefault="00752153" w:rsidP="00752153">
      <w:pPr>
        <w:pStyle w:val="ListParagraph"/>
        <w:ind w:hanging="720"/>
        <w:contextualSpacing w:val="0"/>
        <w:jc w:val="both"/>
        <w:rPr>
          <w:rFonts w:ascii="Calibri" w:hAnsi="Calibri" w:cs="Calibri"/>
          <w:b/>
          <w:bCs/>
        </w:rPr>
      </w:pPr>
      <w:r>
        <w:rPr>
          <w:rFonts w:ascii="Calibri" w:hAnsi="Calibri" w:cs="Calibri"/>
          <w:b/>
          <w:bCs/>
        </w:rPr>
        <w:t>C</w:t>
      </w:r>
      <w:r w:rsidRPr="000B5B8A">
        <w:rPr>
          <w:rFonts w:ascii="Calibri" w:hAnsi="Calibri" w:cs="Calibri"/>
          <w:b/>
          <w:bCs/>
        </w:rPr>
        <w:t>.</w:t>
      </w:r>
      <w:r w:rsidRPr="000B5B8A">
        <w:rPr>
          <w:rFonts w:ascii="Calibri" w:hAnsi="Calibri" w:cs="Calibri"/>
          <w:b/>
          <w:bCs/>
        </w:rPr>
        <w:tab/>
      </w:r>
      <w:r w:rsidRPr="00235FF4">
        <w:rPr>
          <w:rFonts w:ascii="Calibri" w:hAnsi="Calibri" w:cs="Calibri"/>
          <w:b/>
          <w:bCs/>
          <w:u w:val="single"/>
        </w:rPr>
        <w:t>Accounting for DB benefits versus accounting for DC benefits</w:t>
      </w:r>
    </w:p>
    <w:p w14:paraId="5F1E42C9" w14:textId="450D9669" w:rsidR="00752153" w:rsidRPr="000B5B8A" w:rsidRDefault="00752153" w:rsidP="00752153">
      <w:pPr>
        <w:ind w:left="720" w:hanging="720"/>
        <w:jc w:val="both"/>
        <w:rPr>
          <w:rFonts w:ascii="Calibri" w:hAnsi="Calibri" w:cs="Calibri"/>
        </w:rPr>
      </w:pPr>
      <w:r>
        <w:rPr>
          <w:rFonts w:ascii="Calibri" w:hAnsi="Calibri" w:cs="Calibri"/>
        </w:rPr>
        <w:t>1.</w:t>
      </w:r>
      <w:r>
        <w:rPr>
          <w:rFonts w:ascii="Calibri" w:hAnsi="Calibri" w:cs="Calibri"/>
        </w:rPr>
        <w:tab/>
      </w:r>
      <w:r w:rsidRPr="000B5B8A">
        <w:rPr>
          <w:rFonts w:ascii="Calibri" w:hAnsi="Calibri" w:cs="Calibri"/>
        </w:rPr>
        <w:t>The common accounting standards used for US, EU and UK companies</w:t>
      </w:r>
      <w:r w:rsidRPr="00235FF4">
        <w:rPr>
          <w:rStyle w:val="FootnoteReference"/>
          <w:rFonts w:ascii="Calibri" w:hAnsi="Calibri" w:cs="Calibri"/>
        </w:rPr>
        <w:footnoteReference w:id="21"/>
      </w:r>
      <w:r w:rsidRPr="000B5B8A">
        <w:rPr>
          <w:rFonts w:ascii="Calibri" w:hAnsi="Calibri" w:cs="Calibri"/>
        </w:rPr>
        <w:t xml:space="preserve"> require, as at each balance sheet date, the surplus or deficit of a company’s defined benefit pension plans to be shown as, in simplified terms, an asset or a liability of the company in </w:t>
      </w:r>
      <w:r>
        <w:rPr>
          <w:rFonts w:ascii="Calibri" w:hAnsi="Calibri" w:cs="Calibri"/>
        </w:rPr>
        <w:t xml:space="preserve">its </w:t>
      </w:r>
      <w:r w:rsidRPr="000B5B8A">
        <w:rPr>
          <w:rFonts w:ascii="Calibri" w:hAnsi="Calibri" w:cs="Calibri"/>
        </w:rPr>
        <w:t xml:space="preserve">balance sheet.  The way in which contributions to a DB plan (and any deficit or surplus) are dealt with in the other elements of the accounts for the company are as specified in applicable accounting standard </w:t>
      </w:r>
      <w:r w:rsidR="00562824">
        <w:rPr>
          <w:rFonts w:ascii="Calibri" w:hAnsi="Calibri" w:cs="Calibri"/>
        </w:rPr>
        <w:t>to</w:t>
      </w:r>
      <w:r w:rsidRPr="000B5B8A">
        <w:rPr>
          <w:rFonts w:ascii="Calibri" w:hAnsi="Calibri" w:cs="Calibri"/>
        </w:rPr>
        <w:t xml:space="preserve"> which further reference should be made</w:t>
      </w:r>
      <w:r w:rsidR="00562824">
        <w:rPr>
          <w:rFonts w:ascii="Calibri" w:hAnsi="Calibri" w:cs="Calibri"/>
        </w:rPr>
        <w:t>.</w:t>
      </w:r>
    </w:p>
    <w:p w14:paraId="26F5054B" w14:textId="18169F3C" w:rsidR="00752153" w:rsidRPr="000B5B8A" w:rsidRDefault="00752153" w:rsidP="00752153">
      <w:pPr>
        <w:ind w:left="720" w:hanging="720"/>
        <w:jc w:val="both"/>
        <w:rPr>
          <w:rFonts w:ascii="Calibri" w:hAnsi="Calibri" w:cs="Calibri"/>
        </w:rPr>
      </w:pPr>
      <w:r>
        <w:rPr>
          <w:rFonts w:ascii="Calibri" w:hAnsi="Calibri" w:cs="Calibri"/>
        </w:rPr>
        <w:lastRenderedPageBreak/>
        <w:t>2.</w:t>
      </w:r>
      <w:r>
        <w:rPr>
          <w:rFonts w:ascii="Calibri" w:hAnsi="Calibri" w:cs="Calibri"/>
        </w:rPr>
        <w:tab/>
      </w:r>
      <w:r w:rsidRPr="000B5B8A">
        <w:rPr>
          <w:rFonts w:ascii="Calibri" w:hAnsi="Calibri" w:cs="Calibri"/>
        </w:rPr>
        <w:t xml:space="preserve">In contrast, if the pension plan is a </w:t>
      </w:r>
      <w:r>
        <w:rPr>
          <w:rFonts w:ascii="Calibri" w:hAnsi="Calibri" w:cs="Calibri"/>
        </w:rPr>
        <w:t xml:space="preserve">funded </w:t>
      </w:r>
      <w:r w:rsidRPr="000B5B8A">
        <w:rPr>
          <w:rFonts w:ascii="Calibri" w:hAnsi="Calibri" w:cs="Calibri"/>
        </w:rPr>
        <w:t>DC plan, there is no balance sheet impact (in general), and the cost of the contribution is charged as an employment cost in the income statement for the accounting period in question.</w:t>
      </w:r>
    </w:p>
    <w:p w14:paraId="20D8D3C8" w14:textId="6A897A66" w:rsidR="00752153" w:rsidRPr="000B5B8A" w:rsidRDefault="00752153" w:rsidP="00752153">
      <w:pPr>
        <w:ind w:left="720" w:hanging="720"/>
        <w:jc w:val="both"/>
        <w:rPr>
          <w:rFonts w:ascii="Calibri" w:hAnsi="Calibri" w:cs="Calibri"/>
        </w:rPr>
      </w:pPr>
      <w:r>
        <w:rPr>
          <w:rFonts w:ascii="Calibri" w:hAnsi="Calibri" w:cs="Calibri"/>
        </w:rPr>
        <w:t>3.</w:t>
      </w:r>
      <w:r>
        <w:rPr>
          <w:rFonts w:ascii="Calibri" w:hAnsi="Calibri" w:cs="Calibri"/>
        </w:rPr>
        <w:tab/>
      </w:r>
      <w:r w:rsidRPr="000B5B8A">
        <w:rPr>
          <w:rFonts w:ascii="Calibri" w:hAnsi="Calibri" w:cs="Calibri"/>
        </w:rPr>
        <w:t>In addition, accounting standards use the concept of “constructive obligation” where a customary practice (eg the regular giving of discretionary pension increases</w:t>
      </w:r>
      <w:r>
        <w:rPr>
          <w:rFonts w:ascii="Calibri" w:hAnsi="Calibri" w:cs="Calibri"/>
        </w:rPr>
        <w:t xml:space="preserve"> (</w:t>
      </w:r>
      <w:r w:rsidRPr="000B5B8A">
        <w:rPr>
          <w:rFonts w:ascii="Calibri" w:hAnsi="Calibri" w:cs="Calibri"/>
        </w:rPr>
        <w:t xml:space="preserve">which </w:t>
      </w:r>
      <w:r>
        <w:rPr>
          <w:rFonts w:ascii="Calibri" w:hAnsi="Calibri" w:cs="Calibri"/>
        </w:rPr>
        <w:t>are</w:t>
      </w:r>
      <w:r w:rsidRPr="000B5B8A">
        <w:rPr>
          <w:rFonts w:ascii="Calibri" w:hAnsi="Calibri" w:cs="Calibri"/>
        </w:rPr>
        <w:t xml:space="preserve"> not legally binding</w:t>
      </w:r>
      <w:r>
        <w:rPr>
          <w:rFonts w:ascii="Calibri" w:hAnsi="Calibri" w:cs="Calibri"/>
        </w:rPr>
        <w:t>)</w:t>
      </w:r>
      <w:r w:rsidRPr="000B5B8A">
        <w:rPr>
          <w:rFonts w:ascii="Calibri" w:hAnsi="Calibri" w:cs="Calibri"/>
        </w:rPr>
        <w:t xml:space="preserve"> can be required to be treated as if it were legally binding for the purpose of calculating pension costs</w:t>
      </w:r>
      <w:r>
        <w:rPr>
          <w:rFonts w:ascii="Calibri" w:hAnsi="Calibri" w:cs="Calibri"/>
        </w:rPr>
        <w:t xml:space="preserve"> in the </w:t>
      </w:r>
      <w:r w:rsidRPr="000B5B8A">
        <w:rPr>
          <w:rFonts w:ascii="Calibri" w:hAnsi="Calibri" w:cs="Calibri"/>
        </w:rPr>
        <w:t>income statement and</w:t>
      </w:r>
      <w:r>
        <w:rPr>
          <w:rFonts w:ascii="Calibri" w:hAnsi="Calibri" w:cs="Calibri"/>
        </w:rPr>
        <w:t xml:space="preserve"> the calculation of whether a provision is to be established in the </w:t>
      </w:r>
      <w:r w:rsidRPr="000B5B8A">
        <w:rPr>
          <w:rFonts w:ascii="Calibri" w:hAnsi="Calibri" w:cs="Calibri"/>
        </w:rPr>
        <w:t>balance sheet.</w:t>
      </w:r>
    </w:p>
    <w:p w14:paraId="0BC0CFE0" w14:textId="5B812B97" w:rsidR="00752153" w:rsidRDefault="00752153" w:rsidP="00752153">
      <w:pPr>
        <w:jc w:val="both"/>
        <w:rPr>
          <w:rFonts w:ascii="Calibri" w:hAnsi="Calibri" w:cs="Calibri"/>
          <w:b/>
          <w:bCs/>
          <w:u w:val="single"/>
        </w:rPr>
      </w:pPr>
      <w:r>
        <w:rPr>
          <w:rFonts w:ascii="Calibri" w:hAnsi="Calibri" w:cs="Calibri"/>
          <w:b/>
          <w:bCs/>
        </w:rPr>
        <w:t>D.</w:t>
      </w:r>
      <w:r>
        <w:rPr>
          <w:rFonts w:ascii="Calibri" w:hAnsi="Calibri" w:cs="Calibri"/>
          <w:b/>
          <w:bCs/>
        </w:rPr>
        <w:tab/>
      </w:r>
      <w:r>
        <w:rPr>
          <w:rFonts w:ascii="Calibri" w:hAnsi="Calibri" w:cs="Calibri"/>
          <w:b/>
          <w:bCs/>
          <w:u w:val="single"/>
        </w:rPr>
        <w:t>Discount rates</w:t>
      </w:r>
    </w:p>
    <w:p w14:paraId="06B7E32D" w14:textId="08B532DD" w:rsidR="00752153" w:rsidRDefault="00752153" w:rsidP="00752153">
      <w:pPr>
        <w:jc w:val="both"/>
        <w:rPr>
          <w:rFonts w:ascii="Calibri" w:hAnsi="Calibri" w:cs="Calibri"/>
        </w:rPr>
      </w:pPr>
      <w:r>
        <w:rPr>
          <w:rFonts w:ascii="Calibri" w:hAnsi="Calibri" w:cs="Calibri"/>
        </w:rPr>
        <w:t>1.</w:t>
      </w:r>
      <w:r>
        <w:rPr>
          <w:rFonts w:ascii="Calibri" w:hAnsi="Calibri" w:cs="Calibri"/>
        </w:rPr>
        <w:tab/>
        <w:t>An obligation to make a payment of $100 in one year’s time:</w:t>
      </w:r>
    </w:p>
    <w:p w14:paraId="30820AD8" w14:textId="017583F6" w:rsidR="00752153" w:rsidRDefault="00752153" w:rsidP="00752153">
      <w:pPr>
        <w:pStyle w:val="ListParagraph"/>
        <w:numPr>
          <w:ilvl w:val="0"/>
          <w:numId w:val="15"/>
        </w:numPr>
        <w:ind w:left="1080"/>
        <w:jc w:val="both"/>
        <w:rPr>
          <w:rFonts w:ascii="Calibri" w:hAnsi="Calibri" w:cs="Calibri"/>
        </w:rPr>
      </w:pPr>
      <w:r>
        <w:rPr>
          <w:rFonts w:ascii="Calibri" w:hAnsi="Calibri" w:cs="Calibri"/>
        </w:rPr>
        <w:t xml:space="preserve">at a discount rate of </w:t>
      </w:r>
      <w:r w:rsidR="00135035">
        <w:rPr>
          <w:rFonts w:ascii="Calibri" w:hAnsi="Calibri" w:cs="Calibri"/>
        </w:rPr>
        <w:t>5%, requires just over $95 to be held today,</w:t>
      </w:r>
    </w:p>
    <w:p w14:paraId="247E10D4" w14:textId="396E3F5D" w:rsidR="00A379DA" w:rsidRDefault="00A379DA" w:rsidP="00A379DA">
      <w:pPr>
        <w:pStyle w:val="ListParagraph"/>
        <w:numPr>
          <w:ilvl w:val="0"/>
          <w:numId w:val="15"/>
        </w:numPr>
        <w:ind w:left="1080"/>
        <w:jc w:val="both"/>
        <w:rPr>
          <w:rFonts w:ascii="Calibri" w:hAnsi="Calibri" w:cs="Calibri"/>
        </w:rPr>
      </w:pPr>
      <w:r>
        <w:rPr>
          <w:rFonts w:ascii="Calibri" w:hAnsi="Calibri" w:cs="Calibri"/>
        </w:rPr>
        <w:t>at a discount rate of 10%, requires just over $90 to be held today.</w:t>
      </w:r>
    </w:p>
    <w:p w14:paraId="6A2A2EE8" w14:textId="3C5B5ADB" w:rsidR="00A379DA" w:rsidRPr="00A379DA" w:rsidRDefault="00A379DA" w:rsidP="00A379DA">
      <w:pPr>
        <w:ind w:left="720" w:hanging="720"/>
        <w:jc w:val="both"/>
        <w:rPr>
          <w:rFonts w:ascii="Calibri" w:hAnsi="Calibri" w:cs="Calibri"/>
        </w:rPr>
      </w:pPr>
      <w:r>
        <w:rPr>
          <w:rFonts w:ascii="Calibri" w:hAnsi="Calibri" w:cs="Calibri"/>
        </w:rPr>
        <w:t>2.</w:t>
      </w:r>
      <w:r>
        <w:rPr>
          <w:rFonts w:ascii="Calibri" w:hAnsi="Calibri" w:cs="Calibri"/>
        </w:rPr>
        <w:tab/>
        <w:t xml:space="preserve">The further into the future </w:t>
      </w:r>
      <w:r w:rsidR="00CA6E76">
        <w:rPr>
          <w:rFonts w:ascii="Calibri" w:hAnsi="Calibri" w:cs="Calibri"/>
        </w:rPr>
        <w:t>before</w:t>
      </w:r>
      <w:r>
        <w:rPr>
          <w:rFonts w:ascii="Calibri" w:hAnsi="Calibri" w:cs="Calibri"/>
        </w:rPr>
        <w:t xml:space="preserve"> the $100 is to be paid</w:t>
      </w:r>
      <w:r w:rsidR="006029F7">
        <w:rPr>
          <w:rFonts w:ascii="Calibri" w:hAnsi="Calibri" w:cs="Calibri"/>
        </w:rPr>
        <w:t xml:space="preserve"> out</w:t>
      </w:r>
      <w:r>
        <w:rPr>
          <w:rFonts w:ascii="Calibri" w:hAnsi="Calibri" w:cs="Calibri"/>
        </w:rPr>
        <w:t xml:space="preserve"> the lower the amount to be set aside today.  But, because of t</w:t>
      </w:r>
      <w:r w:rsidR="00966A9F">
        <w:rPr>
          <w:rFonts w:ascii="Calibri" w:hAnsi="Calibri" w:cs="Calibri"/>
        </w:rPr>
        <w:t xml:space="preserve">he effects of compounding, this can change the amount to be set aside today </w:t>
      </w:r>
      <w:r w:rsidR="006C57F5">
        <w:rPr>
          <w:rFonts w:ascii="Calibri" w:hAnsi="Calibri" w:cs="Calibri"/>
        </w:rPr>
        <w:t>to vary dramatically.  For example:</w:t>
      </w:r>
    </w:p>
    <w:p w14:paraId="5B05B0B1" w14:textId="67CC6108" w:rsidR="00A379DA" w:rsidRDefault="006C57F5" w:rsidP="00752153">
      <w:pPr>
        <w:pStyle w:val="ListParagraph"/>
        <w:numPr>
          <w:ilvl w:val="0"/>
          <w:numId w:val="15"/>
        </w:numPr>
        <w:ind w:left="1080"/>
        <w:jc w:val="both"/>
        <w:rPr>
          <w:rFonts w:ascii="Calibri" w:hAnsi="Calibri" w:cs="Calibri"/>
        </w:rPr>
      </w:pPr>
      <w:r>
        <w:rPr>
          <w:rFonts w:ascii="Calibri" w:hAnsi="Calibri" w:cs="Calibri"/>
        </w:rPr>
        <w:t xml:space="preserve">at a 5% discount rate, if payment of $100 </w:t>
      </w:r>
      <w:r w:rsidR="006029F7">
        <w:rPr>
          <w:rFonts w:ascii="Calibri" w:hAnsi="Calibri" w:cs="Calibri"/>
        </w:rPr>
        <w:t>is to be mad</w:t>
      </w:r>
      <w:r w:rsidR="00BE71B6">
        <w:rPr>
          <w:rFonts w:ascii="Calibri" w:hAnsi="Calibri" w:cs="Calibri"/>
        </w:rPr>
        <w:t xml:space="preserve">e </w:t>
      </w:r>
      <w:r>
        <w:rPr>
          <w:rFonts w:ascii="Calibri" w:hAnsi="Calibri" w:cs="Calibri"/>
        </w:rPr>
        <w:t>in just over 14 years time</w:t>
      </w:r>
      <w:r w:rsidR="00BE71B6">
        <w:rPr>
          <w:rFonts w:ascii="Calibri" w:hAnsi="Calibri" w:cs="Calibri"/>
        </w:rPr>
        <w:t>,</w:t>
      </w:r>
      <w:r>
        <w:rPr>
          <w:rFonts w:ascii="Calibri" w:hAnsi="Calibri" w:cs="Calibri"/>
        </w:rPr>
        <w:t xml:space="preserve"> </w:t>
      </w:r>
      <w:r w:rsidR="001835F8">
        <w:rPr>
          <w:rFonts w:ascii="Calibri" w:hAnsi="Calibri" w:cs="Calibri"/>
        </w:rPr>
        <w:t xml:space="preserve"> just over $50 </w:t>
      </w:r>
      <w:r w:rsidR="00BE71B6">
        <w:rPr>
          <w:rFonts w:ascii="Calibri" w:hAnsi="Calibri" w:cs="Calibri"/>
        </w:rPr>
        <w:t xml:space="preserve">would need </w:t>
      </w:r>
      <w:r w:rsidR="001835F8">
        <w:rPr>
          <w:rFonts w:ascii="Calibri" w:hAnsi="Calibri" w:cs="Calibri"/>
        </w:rPr>
        <w:t>to be set aside today</w:t>
      </w:r>
      <w:r w:rsidR="009A618F">
        <w:rPr>
          <w:rFonts w:ascii="Calibri" w:hAnsi="Calibri" w:cs="Calibri"/>
        </w:rPr>
        <w:t xml:space="preserve"> (as it is assumed to earn 5% </w:t>
      </w:r>
      <w:r w:rsidR="002C3719">
        <w:rPr>
          <w:rFonts w:ascii="Calibri" w:hAnsi="Calibri" w:cs="Calibri"/>
        </w:rPr>
        <w:t>(compounded) each year for just over 14 years)</w:t>
      </w:r>
      <w:r w:rsidR="003822F6">
        <w:rPr>
          <w:rFonts w:ascii="Calibri" w:hAnsi="Calibri" w:cs="Calibri"/>
        </w:rPr>
        <w:t>.</w:t>
      </w:r>
    </w:p>
    <w:p w14:paraId="1F619A7A" w14:textId="5102FB65" w:rsidR="001835F8" w:rsidRPr="005C714C" w:rsidRDefault="001835F8" w:rsidP="005C714C">
      <w:pPr>
        <w:pStyle w:val="ListParagraph"/>
        <w:numPr>
          <w:ilvl w:val="0"/>
          <w:numId w:val="15"/>
        </w:numPr>
        <w:ind w:left="1080"/>
        <w:jc w:val="both"/>
        <w:rPr>
          <w:rFonts w:ascii="Calibri" w:hAnsi="Calibri" w:cs="Calibri"/>
        </w:rPr>
      </w:pPr>
      <w:r>
        <w:rPr>
          <w:rFonts w:ascii="Calibri" w:hAnsi="Calibri" w:cs="Calibri"/>
        </w:rPr>
        <w:t xml:space="preserve">at </w:t>
      </w:r>
      <w:r w:rsidR="00174A67">
        <w:rPr>
          <w:rFonts w:ascii="Calibri" w:hAnsi="Calibri" w:cs="Calibri"/>
        </w:rPr>
        <w:t xml:space="preserve"> a 10</w:t>
      </w:r>
      <w:r>
        <w:rPr>
          <w:rFonts w:ascii="Calibri" w:hAnsi="Calibri" w:cs="Calibri"/>
        </w:rPr>
        <w:t xml:space="preserve">% discount rate, if payment of $100 </w:t>
      </w:r>
      <w:r w:rsidR="00174A67">
        <w:rPr>
          <w:rFonts w:ascii="Calibri" w:hAnsi="Calibri" w:cs="Calibri"/>
        </w:rPr>
        <w:t xml:space="preserve">is to be made in just </w:t>
      </w:r>
      <w:r>
        <w:rPr>
          <w:rFonts w:ascii="Calibri" w:hAnsi="Calibri" w:cs="Calibri"/>
        </w:rPr>
        <w:t>over 7 years time</w:t>
      </w:r>
      <w:r w:rsidR="006F63A9">
        <w:rPr>
          <w:rFonts w:ascii="Calibri" w:hAnsi="Calibri" w:cs="Calibri"/>
        </w:rPr>
        <w:t>, just over $50</w:t>
      </w:r>
      <w:r>
        <w:rPr>
          <w:rFonts w:ascii="Calibri" w:hAnsi="Calibri" w:cs="Calibri"/>
        </w:rPr>
        <w:t xml:space="preserve"> would </w:t>
      </w:r>
      <w:r w:rsidR="005C714C">
        <w:rPr>
          <w:rFonts w:ascii="Calibri" w:hAnsi="Calibri" w:cs="Calibri"/>
        </w:rPr>
        <w:t xml:space="preserve">need </w:t>
      </w:r>
      <w:r>
        <w:rPr>
          <w:rFonts w:ascii="Calibri" w:hAnsi="Calibri" w:cs="Calibri"/>
        </w:rPr>
        <w:t>to be set aside today</w:t>
      </w:r>
      <w:r w:rsidR="005C714C">
        <w:rPr>
          <w:rFonts w:ascii="Calibri" w:hAnsi="Calibri" w:cs="Calibri"/>
        </w:rPr>
        <w:t xml:space="preserve"> (as it is assumed to earn 5% (compounded) each year for just over 14 years).</w:t>
      </w:r>
    </w:p>
    <w:p w14:paraId="440997F6" w14:textId="3FC64689" w:rsidR="00780B28" w:rsidRDefault="001835F8" w:rsidP="00DB024E">
      <w:pPr>
        <w:ind w:left="720" w:hanging="720"/>
        <w:jc w:val="both"/>
        <w:rPr>
          <w:rFonts w:ascii="Calibri" w:hAnsi="Calibri" w:cs="Calibri"/>
        </w:rPr>
      </w:pPr>
      <w:r>
        <w:rPr>
          <w:rFonts w:ascii="Calibri" w:hAnsi="Calibri" w:cs="Calibri"/>
        </w:rPr>
        <w:t>3.</w:t>
      </w:r>
      <w:r>
        <w:rPr>
          <w:rFonts w:ascii="Calibri" w:hAnsi="Calibri" w:cs="Calibri"/>
        </w:rPr>
        <w:tab/>
      </w:r>
      <w:r w:rsidR="005867F4">
        <w:rPr>
          <w:rFonts w:ascii="Calibri" w:hAnsi="Calibri" w:cs="Calibri"/>
        </w:rPr>
        <w:t xml:space="preserve">How the discount rate is set has, to put it mildly, huge financial implications </w:t>
      </w:r>
      <w:r w:rsidR="00DB024E">
        <w:rPr>
          <w:rFonts w:ascii="Calibri" w:hAnsi="Calibri" w:cs="Calibri"/>
        </w:rPr>
        <w:t>for pension plans and plan sponsors.</w:t>
      </w:r>
    </w:p>
    <w:p w14:paraId="6FD40656" w14:textId="0ADA61BD" w:rsidR="001835F8" w:rsidRDefault="00780B28" w:rsidP="00D67109">
      <w:pPr>
        <w:ind w:left="720" w:hanging="720"/>
        <w:jc w:val="both"/>
        <w:rPr>
          <w:rFonts w:ascii="Calibri" w:hAnsi="Calibri" w:cs="Calibri"/>
        </w:rPr>
      </w:pPr>
      <w:r>
        <w:rPr>
          <w:rFonts w:ascii="Calibri" w:hAnsi="Calibri" w:cs="Calibri"/>
        </w:rPr>
        <w:t>4.</w:t>
      </w:r>
      <w:r>
        <w:rPr>
          <w:rFonts w:ascii="Calibri" w:hAnsi="Calibri" w:cs="Calibri"/>
        </w:rPr>
        <w:tab/>
      </w:r>
      <w:r w:rsidR="001835F8" w:rsidRPr="00780B28">
        <w:rPr>
          <w:rFonts w:ascii="Calibri" w:hAnsi="Calibri" w:cs="Calibri"/>
          <w:b/>
          <w:bCs/>
        </w:rPr>
        <w:t>Table 1</w:t>
      </w:r>
      <w:r w:rsidR="001835F8">
        <w:rPr>
          <w:rFonts w:ascii="Calibri" w:hAnsi="Calibri" w:cs="Calibri"/>
        </w:rPr>
        <w:t xml:space="preserve"> below compares </w:t>
      </w:r>
      <w:r w:rsidR="00D67109">
        <w:rPr>
          <w:rFonts w:ascii="Calibri" w:hAnsi="Calibri" w:cs="Calibri"/>
        </w:rPr>
        <w:t xml:space="preserve">how </w:t>
      </w:r>
      <w:r w:rsidR="005867F4">
        <w:rPr>
          <w:rFonts w:ascii="Calibri" w:hAnsi="Calibri" w:cs="Calibri"/>
        </w:rPr>
        <w:t>the discount rate</w:t>
      </w:r>
      <w:r w:rsidR="00D67109">
        <w:rPr>
          <w:rFonts w:ascii="Calibri" w:hAnsi="Calibri" w:cs="Calibri"/>
        </w:rPr>
        <w:t xml:space="preserve"> is set for DB pension plans in the four jurisdictions covered by this workshop.</w:t>
      </w:r>
    </w:p>
    <w:p w14:paraId="572482AC" w14:textId="2248DEBF" w:rsidR="00D67109" w:rsidRDefault="00EF3002" w:rsidP="00EF3002">
      <w:pPr>
        <w:ind w:left="720" w:hanging="720"/>
        <w:jc w:val="center"/>
        <w:rPr>
          <w:rFonts w:ascii="Calibri" w:hAnsi="Calibri" w:cs="Calibri"/>
          <w:b/>
          <w:bCs/>
        </w:rPr>
      </w:pPr>
      <w:r>
        <w:rPr>
          <w:rFonts w:ascii="Calibri" w:hAnsi="Calibri" w:cs="Calibri"/>
          <w:b/>
          <w:bCs/>
        </w:rPr>
        <w:t>Table 1</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08"/>
        <w:gridCol w:w="5108"/>
        <w:gridCol w:w="2972"/>
      </w:tblGrid>
      <w:tr w:rsidR="001E15BD" w:rsidRPr="001E06AE" w14:paraId="54836132" w14:textId="77777777" w:rsidTr="001E06AE">
        <w:trPr>
          <w:trHeight w:val="345"/>
          <w:tblHeader/>
        </w:trPr>
        <w:tc>
          <w:tcPr>
            <w:tcW w:w="1408" w:type="dxa"/>
            <w:shd w:val="clear" w:color="auto" w:fill="DAE9F7" w:themeFill="text2" w:themeFillTint="1A"/>
            <w:tcMar>
              <w:top w:w="72" w:type="dxa"/>
              <w:left w:w="144" w:type="dxa"/>
              <w:bottom w:w="72" w:type="dxa"/>
              <w:right w:w="144" w:type="dxa"/>
            </w:tcMar>
            <w:hideMark/>
          </w:tcPr>
          <w:p w14:paraId="44987323" w14:textId="77777777" w:rsidR="00EF3002" w:rsidRPr="00EF3002" w:rsidRDefault="00EF3002" w:rsidP="001E06AE">
            <w:pPr>
              <w:ind w:left="720" w:hanging="720"/>
              <w:jc w:val="both"/>
              <w:rPr>
                <w:rFonts w:ascii="Calibri" w:hAnsi="Calibri" w:cs="Calibri"/>
                <w:b/>
                <w:bCs/>
                <w:sz w:val="18"/>
                <w:szCs w:val="18"/>
              </w:rPr>
            </w:pPr>
            <w:r w:rsidRPr="00EF3002">
              <w:rPr>
                <w:rFonts w:ascii="Calibri" w:hAnsi="Calibri" w:cs="Calibri"/>
                <w:b/>
                <w:bCs/>
                <w:sz w:val="18"/>
                <w:szCs w:val="18"/>
              </w:rPr>
              <w:t>Jurisdiction</w:t>
            </w:r>
          </w:p>
        </w:tc>
        <w:tc>
          <w:tcPr>
            <w:tcW w:w="5108" w:type="dxa"/>
            <w:shd w:val="clear" w:color="auto" w:fill="DAE9F7" w:themeFill="text2" w:themeFillTint="1A"/>
            <w:tcMar>
              <w:top w:w="72" w:type="dxa"/>
              <w:left w:w="144" w:type="dxa"/>
              <w:bottom w:w="72" w:type="dxa"/>
              <w:right w:w="144" w:type="dxa"/>
            </w:tcMar>
            <w:hideMark/>
          </w:tcPr>
          <w:p w14:paraId="2785E686" w14:textId="77777777" w:rsidR="00EF3002" w:rsidRPr="00EF3002" w:rsidRDefault="00EF3002" w:rsidP="001E06AE">
            <w:pPr>
              <w:ind w:left="720" w:hanging="720"/>
              <w:jc w:val="both"/>
              <w:rPr>
                <w:rFonts w:ascii="Calibri" w:hAnsi="Calibri" w:cs="Calibri"/>
                <w:b/>
                <w:bCs/>
                <w:sz w:val="18"/>
                <w:szCs w:val="18"/>
              </w:rPr>
            </w:pPr>
            <w:r w:rsidRPr="00EF3002">
              <w:rPr>
                <w:rFonts w:ascii="Calibri" w:hAnsi="Calibri" w:cs="Calibri"/>
                <w:b/>
                <w:bCs/>
                <w:sz w:val="18"/>
                <w:szCs w:val="18"/>
              </w:rPr>
              <w:t>How determined</w:t>
            </w:r>
          </w:p>
        </w:tc>
        <w:tc>
          <w:tcPr>
            <w:tcW w:w="2972" w:type="dxa"/>
            <w:shd w:val="clear" w:color="auto" w:fill="DAE9F7" w:themeFill="text2" w:themeFillTint="1A"/>
            <w:tcMar>
              <w:top w:w="72" w:type="dxa"/>
              <w:left w:w="144" w:type="dxa"/>
              <w:bottom w:w="72" w:type="dxa"/>
              <w:right w:w="144" w:type="dxa"/>
            </w:tcMar>
            <w:hideMark/>
          </w:tcPr>
          <w:p w14:paraId="56E9703B" w14:textId="77777777" w:rsidR="00EF3002" w:rsidRPr="00EF3002" w:rsidRDefault="00EF3002" w:rsidP="001E06AE">
            <w:pPr>
              <w:tabs>
                <w:tab w:val="left" w:pos="276"/>
              </w:tabs>
              <w:ind w:left="276" w:hanging="276"/>
              <w:jc w:val="both"/>
              <w:rPr>
                <w:rFonts w:ascii="Calibri" w:hAnsi="Calibri" w:cs="Calibri"/>
                <w:b/>
                <w:bCs/>
                <w:sz w:val="18"/>
                <w:szCs w:val="18"/>
              </w:rPr>
            </w:pPr>
            <w:r w:rsidRPr="00EF3002">
              <w:rPr>
                <w:rFonts w:ascii="Calibri" w:hAnsi="Calibri" w:cs="Calibri"/>
                <w:b/>
                <w:bCs/>
                <w:sz w:val="18"/>
                <w:szCs w:val="18"/>
              </w:rPr>
              <w:t>Notes</w:t>
            </w:r>
          </w:p>
        </w:tc>
      </w:tr>
      <w:tr w:rsidR="001E15BD" w:rsidRPr="001E15BD" w14:paraId="01F9A7EE" w14:textId="77777777" w:rsidTr="001E06AE">
        <w:trPr>
          <w:trHeight w:val="584"/>
        </w:trPr>
        <w:tc>
          <w:tcPr>
            <w:tcW w:w="1408" w:type="dxa"/>
            <w:shd w:val="clear" w:color="auto" w:fill="auto"/>
            <w:tcMar>
              <w:top w:w="72" w:type="dxa"/>
              <w:left w:w="144" w:type="dxa"/>
              <w:bottom w:w="72" w:type="dxa"/>
              <w:right w:w="144" w:type="dxa"/>
            </w:tcMar>
            <w:hideMark/>
          </w:tcPr>
          <w:p w14:paraId="4F34AC3B" w14:textId="77777777" w:rsidR="00EF3002" w:rsidRPr="00EF3002" w:rsidRDefault="00EF3002" w:rsidP="003C1F24">
            <w:pPr>
              <w:ind w:left="720" w:hanging="720"/>
              <w:jc w:val="both"/>
              <w:rPr>
                <w:rFonts w:ascii="Calibri" w:hAnsi="Calibri" w:cs="Calibri"/>
                <w:sz w:val="18"/>
                <w:szCs w:val="18"/>
              </w:rPr>
            </w:pPr>
            <w:r w:rsidRPr="00EF3002">
              <w:rPr>
                <w:rFonts w:ascii="Calibri" w:hAnsi="Calibri" w:cs="Calibri"/>
                <w:sz w:val="18"/>
                <w:szCs w:val="18"/>
              </w:rPr>
              <w:t>Belgium</w:t>
            </w:r>
          </w:p>
        </w:tc>
        <w:tc>
          <w:tcPr>
            <w:tcW w:w="5108" w:type="dxa"/>
            <w:shd w:val="clear" w:color="auto" w:fill="auto"/>
            <w:tcMar>
              <w:top w:w="72" w:type="dxa"/>
              <w:left w:w="144" w:type="dxa"/>
              <w:bottom w:w="72" w:type="dxa"/>
              <w:right w:w="144" w:type="dxa"/>
            </w:tcMar>
            <w:hideMark/>
          </w:tcPr>
          <w:p w14:paraId="32C030F2" w14:textId="27D8FC9F" w:rsidR="00EF3002" w:rsidRP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1.1</w:t>
            </w:r>
            <w:r w:rsidR="003C1F24" w:rsidRPr="001E15BD">
              <w:rPr>
                <w:rFonts w:ascii="Calibri" w:hAnsi="Calibri" w:cs="Calibri"/>
                <w:sz w:val="18"/>
                <w:szCs w:val="18"/>
              </w:rPr>
              <w:tab/>
            </w:r>
            <w:r w:rsidRPr="00EF3002">
              <w:rPr>
                <w:rFonts w:ascii="Calibri" w:hAnsi="Calibri" w:cs="Calibri"/>
                <w:sz w:val="18"/>
                <w:szCs w:val="18"/>
              </w:rPr>
              <w:t>Prudent discount rate.</w:t>
            </w:r>
          </w:p>
          <w:p w14:paraId="122281C5" w14:textId="738ACA4E" w:rsidR="00EF3002" w:rsidRPr="00EF3002" w:rsidRDefault="00EF3002" w:rsidP="003C1F24">
            <w:pPr>
              <w:tabs>
                <w:tab w:val="left" w:pos="279"/>
              </w:tabs>
              <w:ind w:left="279" w:hanging="279"/>
              <w:jc w:val="both"/>
              <w:rPr>
                <w:rFonts w:ascii="Calibri" w:hAnsi="Calibri" w:cs="Calibri"/>
                <w:sz w:val="18"/>
                <w:szCs w:val="18"/>
              </w:rPr>
            </w:pPr>
            <w:r w:rsidRPr="00EF3002">
              <w:rPr>
                <w:rFonts w:ascii="Calibri" w:hAnsi="Calibri" w:cs="Calibri"/>
                <w:sz w:val="18"/>
                <w:szCs w:val="18"/>
              </w:rPr>
              <w:t>1.2</w:t>
            </w:r>
            <w:r w:rsidR="003C1F24" w:rsidRPr="001E15BD">
              <w:rPr>
                <w:rFonts w:ascii="Calibri" w:hAnsi="Calibri" w:cs="Calibri"/>
                <w:sz w:val="18"/>
                <w:szCs w:val="18"/>
              </w:rPr>
              <w:tab/>
            </w:r>
            <w:r w:rsidRPr="00EF3002">
              <w:rPr>
                <w:rFonts w:ascii="Calibri" w:hAnsi="Calibri" w:cs="Calibri"/>
                <w:sz w:val="18"/>
                <w:szCs w:val="18"/>
              </w:rPr>
              <w:t>Derived from expected return on pension fund/insurance company investments OR high quality bonds OR a combination.</w:t>
            </w:r>
          </w:p>
          <w:p w14:paraId="50D90B7A" w14:textId="47958F94" w:rsidR="00EF3002" w:rsidRP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1.3</w:t>
            </w:r>
            <w:r w:rsidR="003C1F24" w:rsidRPr="001E15BD">
              <w:rPr>
                <w:rFonts w:ascii="Calibri" w:hAnsi="Calibri" w:cs="Calibri"/>
                <w:sz w:val="18"/>
                <w:szCs w:val="18"/>
              </w:rPr>
              <w:tab/>
            </w:r>
            <w:r w:rsidRPr="00EF3002">
              <w:rPr>
                <w:rFonts w:ascii="Calibri" w:hAnsi="Calibri" w:cs="Calibri"/>
                <w:sz w:val="18"/>
                <w:szCs w:val="18"/>
              </w:rPr>
              <w:t>Legal maximum of 6% pa. FSMA (Belgium regulator) to consider prudent rate on a case-by-case assessment.</w:t>
            </w:r>
          </w:p>
        </w:tc>
        <w:tc>
          <w:tcPr>
            <w:tcW w:w="2972" w:type="dxa"/>
            <w:shd w:val="clear" w:color="auto" w:fill="auto"/>
            <w:tcMar>
              <w:top w:w="72" w:type="dxa"/>
              <w:left w:w="144" w:type="dxa"/>
              <w:bottom w:w="72" w:type="dxa"/>
              <w:right w:w="144" w:type="dxa"/>
            </w:tcMar>
            <w:hideMark/>
          </w:tcPr>
          <w:p w14:paraId="319A27E7" w14:textId="77777777" w:rsidR="00EF3002" w:rsidRPr="00EF3002" w:rsidRDefault="00EF3002" w:rsidP="00BD568C">
            <w:pPr>
              <w:tabs>
                <w:tab w:val="left" w:pos="276"/>
              </w:tabs>
              <w:jc w:val="both"/>
              <w:rPr>
                <w:rFonts w:ascii="Calibri" w:hAnsi="Calibri" w:cs="Calibri"/>
                <w:sz w:val="18"/>
                <w:szCs w:val="18"/>
              </w:rPr>
            </w:pPr>
            <w:r w:rsidRPr="00EF3002">
              <w:rPr>
                <w:rFonts w:ascii="Calibri" w:hAnsi="Calibri" w:cs="Calibri"/>
                <w:sz w:val="18"/>
                <w:szCs w:val="18"/>
              </w:rPr>
              <w:t>Under Belgian legislation transposing IORP II Directive, Article 13(4)</w:t>
            </w:r>
          </w:p>
        </w:tc>
      </w:tr>
      <w:tr w:rsidR="001E15BD" w:rsidRPr="001E15BD" w14:paraId="2DC0474C" w14:textId="77777777" w:rsidTr="001E06AE">
        <w:trPr>
          <w:trHeight w:val="584"/>
        </w:trPr>
        <w:tc>
          <w:tcPr>
            <w:tcW w:w="1408" w:type="dxa"/>
            <w:shd w:val="clear" w:color="auto" w:fill="auto"/>
            <w:tcMar>
              <w:top w:w="72" w:type="dxa"/>
              <w:left w:w="144" w:type="dxa"/>
              <w:bottom w:w="72" w:type="dxa"/>
              <w:right w:w="144" w:type="dxa"/>
            </w:tcMar>
            <w:hideMark/>
          </w:tcPr>
          <w:p w14:paraId="61AC1539" w14:textId="77777777" w:rsidR="00EF3002" w:rsidRPr="00EF3002" w:rsidRDefault="00EF3002" w:rsidP="003C1F24">
            <w:pPr>
              <w:ind w:left="720" w:hanging="720"/>
              <w:jc w:val="both"/>
              <w:rPr>
                <w:rFonts w:ascii="Calibri" w:hAnsi="Calibri" w:cs="Calibri"/>
                <w:sz w:val="18"/>
                <w:szCs w:val="18"/>
              </w:rPr>
            </w:pPr>
            <w:r w:rsidRPr="00EF3002">
              <w:rPr>
                <w:rFonts w:ascii="Calibri" w:hAnsi="Calibri" w:cs="Calibri"/>
                <w:sz w:val="18"/>
                <w:szCs w:val="18"/>
              </w:rPr>
              <w:t>France</w:t>
            </w:r>
          </w:p>
        </w:tc>
        <w:tc>
          <w:tcPr>
            <w:tcW w:w="5108" w:type="dxa"/>
            <w:shd w:val="clear" w:color="auto" w:fill="auto"/>
            <w:tcMar>
              <w:top w:w="72" w:type="dxa"/>
              <w:left w:w="144" w:type="dxa"/>
              <w:bottom w:w="72" w:type="dxa"/>
              <w:right w:w="144" w:type="dxa"/>
            </w:tcMar>
            <w:hideMark/>
          </w:tcPr>
          <w:p w14:paraId="21B71BA8" w14:textId="04965A68" w:rsidR="00EF3002" w:rsidRP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2.1</w:t>
            </w:r>
            <w:r w:rsidR="003C1F24" w:rsidRPr="001E15BD">
              <w:rPr>
                <w:rFonts w:ascii="Calibri" w:hAnsi="Calibri" w:cs="Calibri"/>
                <w:sz w:val="18"/>
                <w:szCs w:val="18"/>
              </w:rPr>
              <w:tab/>
            </w:r>
            <w:r w:rsidRPr="00EF3002">
              <w:rPr>
                <w:rFonts w:ascii="Calibri" w:hAnsi="Calibri" w:cs="Calibri"/>
                <w:sz w:val="18"/>
                <w:szCs w:val="18"/>
              </w:rPr>
              <w:t>Prudent discount rate.</w:t>
            </w:r>
          </w:p>
          <w:p w14:paraId="08ACAE63" w14:textId="68727BFB" w:rsidR="00EF3002" w:rsidRP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2.2</w:t>
            </w:r>
            <w:r w:rsidR="003C1F24" w:rsidRPr="001E15BD">
              <w:rPr>
                <w:rFonts w:ascii="Calibri" w:hAnsi="Calibri" w:cs="Calibri"/>
                <w:sz w:val="18"/>
                <w:szCs w:val="18"/>
              </w:rPr>
              <w:tab/>
            </w:r>
            <w:r w:rsidRPr="00EF3002">
              <w:rPr>
                <w:rFonts w:ascii="Calibri" w:hAnsi="Calibri" w:cs="Calibri"/>
                <w:sz w:val="18"/>
                <w:szCs w:val="18"/>
              </w:rPr>
              <w:t>Derived from expected return on pension fund/insurance company investments OR high quality bonds OR a combination</w:t>
            </w:r>
          </w:p>
          <w:p w14:paraId="63AAC1D6" w14:textId="07020EA2" w:rsidR="00EF3002" w:rsidRPr="00EF3002" w:rsidRDefault="00EF3002" w:rsidP="003C1F24">
            <w:pPr>
              <w:ind w:left="720" w:hanging="720"/>
              <w:jc w:val="both"/>
              <w:rPr>
                <w:rFonts w:ascii="Calibri" w:hAnsi="Calibri" w:cs="Calibri"/>
                <w:sz w:val="18"/>
                <w:szCs w:val="18"/>
              </w:rPr>
            </w:pPr>
          </w:p>
        </w:tc>
        <w:tc>
          <w:tcPr>
            <w:tcW w:w="2972" w:type="dxa"/>
            <w:shd w:val="clear" w:color="auto" w:fill="auto"/>
            <w:tcMar>
              <w:top w:w="72" w:type="dxa"/>
              <w:left w:w="144" w:type="dxa"/>
              <w:bottom w:w="72" w:type="dxa"/>
              <w:right w:w="144" w:type="dxa"/>
            </w:tcMar>
            <w:hideMark/>
          </w:tcPr>
          <w:p w14:paraId="28DB1F96" w14:textId="6F5CF099" w:rsidR="00EF3002" w:rsidRPr="00EF3002" w:rsidRDefault="00EF3002" w:rsidP="00BD568C">
            <w:pPr>
              <w:tabs>
                <w:tab w:val="left" w:pos="276"/>
              </w:tabs>
              <w:ind w:left="276" w:hanging="276"/>
              <w:jc w:val="both"/>
              <w:rPr>
                <w:rFonts w:ascii="Calibri" w:hAnsi="Calibri" w:cs="Calibri"/>
                <w:sz w:val="18"/>
                <w:szCs w:val="18"/>
              </w:rPr>
            </w:pPr>
            <w:r w:rsidRPr="00EF3002">
              <w:rPr>
                <w:rFonts w:ascii="Calibri" w:hAnsi="Calibri" w:cs="Calibri"/>
                <w:sz w:val="18"/>
                <w:szCs w:val="18"/>
              </w:rPr>
              <w:t>2.1</w:t>
            </w:r>
            <w:r w:rsidR="003C1F24" w:rsidRPr="001E15BD">
              <w:rPr>
                <w:rFonts w:ascii="Calibri" w:hAnsi="Calibri" w:cs="Calibri"/>
                <w:sz w:val="18"/>
                <w:szCs w:val="18"/>
              </w:rPr>
              <w:tab/>
            </w:r>
            <w:r w:rsidRPr="00EF3002">
              <w:rPr>
                <w:rFonts w:ascii="Calibri" w:hAnsi="Calibri" w:cs="Calibri"/>
                <w:sz w:val="18"/>
                <w:szCs w:val="18"/>
              </w:rPr>
              <w:t>Under French legislation transposing IORP II Directive, Article 13(4) for French IORPs</w:t>
            </w:r>
          </w:p>
          <w:p w14:paraId="79578618" w14:textId="473C8592" w:rsidR="00EF3002" w:rsidRPr="00EF3002" w:rsidRDefault="00EF3002" w:rsidP="00BD568C">
            <w:pPr>
              <w:tabs>
                <w:tab w:val="left" w:pos="276"/>
              </w:tabs>
              <w:ind w:left="276" w:hanging="276"/>
              <w:jc w:val="both"/>
              <w:rPr>
                <w:rFonts w:ascii="Calibri" w:hAnsi="Calibri" w:cs="Calibri"/>
                <w:sz w:val="18"/>
                <w:szCs w:val="18"/>
              </w:rPr>
            </w:pPr>
            <w:r w:rsidRPr="00EF3002">
              <w:rPr>
                <w:rFonts w:ascii="Calibri" w:hAnsi="Calibri" w:cs="Calibri"/>
                <w:sz w:val="18"/>
                <w:szCs w:val="18"/>
              </w:rPr>
              <w:t>2.2</w:t>
            </w:r>
            <w:r w:rsidR="003C1F24" w:rsidRPr="001E15BD">
              <w:rPr>
                <w:rFonts w:ascii="Calibri" w:hAnsi="Calibri" w:cs="Calibri"/>
                <w:sz w:val="18"/>
                <w:szCs w:val="18"/>
              </w:rPr>
              <w:tab/>
            </w:r>
            <w:r w:rsidRPr="00EF3002">
              <w:rPr>
                <w:rFonts w:ascii="Calibri" w:hAnsi="Calibri" w:cs="Calibri"/>
                <w:sz w:val="18"/>
                <w:szCs w:val="18"/>
              </w:rPr>
              <w:t>Not applicable to French Pillar 2 pension schemes (as pay</w:t>
            </w:r>
            <w:r w:rsidR="00DE3055">
              <w:rPr>
                <w:rFonts w:ascii="Calibri" w:hAnsi="Calibri" w:cs="Calibri"/>
                <w:sz w:val="18"/>
                <w:szCs w:val="18"/>
              </w:rPr>
              <w:t>-</w:t>
            </w:r>
            <w:r w:rsidRPr="00EF3002">
              <w:rPr>
                <w:rFonts w:ascii="Calibri" w:hAnsi="Calibri" w:cs="Calibri"/>
                <w:sz w:val="18"/>
                <w:szCs w:val="18"/>
              </w:rPr>
              <w:t>as</w:t>
            </w:r>
            <w:r w:rsidR="00DE3055">
              <w:rPr>
                <w:rFonts w:ascii="Calibri" w:hAnsi="Calibri" w:cs="Calibri"/>
                <w:sz w:val="18"/>
                <w:szCs w:val="18"/>
              </w:rPr>
              <w:t>-</w:t>
            </w:r>
            <w:r w:rsidRPr="00EF3002">
              <w:rPr>
                <w:rFonts w:ascii="Calibri" w:hAnsi="Calibri" w:cs="Calibri"/>
                <w:sz w:val="18"/>
                <w:szCs w:val="18"/>
              </w:rPr>
              <w:t xml:space="preserve">you </w:t>
            </w:r>
            <w:r w:rsidR="00DE3055">
              <w:rPr>
                <w:rFonts w:ascii="Calibri" w:hAnsi="Calibri" w:cs="Calibri"/>
                <w:sz w:val="18"/>
                <w:szCs w:val="18"/>
              </w:rPr>
              <w:t>-</w:t>
            </w:r>
            <w:r w:rsidRPr="00EF3002">
              <w:rPr>
                <w:rFonts w:ascii="Calibri" w:hAnsi="Calibri" w:cs="Calibri"/>
                <w:sz w:val="18"/>
                <w:szCs w:val="18"/>
              </w:rPr>
              <w:t>go – unfunded but not book reserve)</w:t>
            </w:r>
          </w:p>
        </w:tc>
      </w:tr>
      <w:tr w:rsidR="001E15BD" w:rsidRPr="001E15BD" w14:paraId="29EA1354" w14:textId="77777777" w:rsidTr="001E06AE">
        <w:trPr>
          <w:trHeight w:val="216"/>
        </w:trPr>
        <w:tc>
          <w:tcPr>
            <w:tcW w:w="1408" w:type="dxa"/>
            <w:shd w:val="clear" w:color="auto" w:fill="auto"/>
            <w:tcMar>
              <w:top w:w="72" w:type="dxa"/>
              <w:left w:w="144" w:type="dxa"/>
              <w:bottom w:w="72" w:type="dxa"/>
              <w:right w:w="144" w:type="dxa"/>
            </w:tcMar>
            <w:hideMark/>
          </w:tcPr>
          <w:p w14:paraId="447BFCC2" w14:textId="77777777" w:rsidR="00EF3002" w:rsidRPr="00EF3002" w:rsidRDefault="00EF3002" w:rsidP="003C1F24">
            <w:pPr>
              <w:ind w:left="720" w:hanging="720"/>
              <w:jc w:val="both"/>
              <w:rPr>
                <w:rFonts w:ascii="Calibri" w:hAnsi="Calibri" w:cs="Calibri"/>
                <w:sz w:val="18"/>
                <w:szCs w:val="18"/>
              </w:rPr>
            </w:pPr>
            <w:r w:rsidRPr="00EF3002">
              <w:rPr>
                <w:rFonts w:ascii="Calibri" w:hAnsi="Calibri" w:cs="Calibri"/>
                <w:sz w:val="18"/>
                <w:szCs w:val="18"/>
              </w:rPr>
              <w:lastRenderedPageBreak/>
              <w:t>UK</w:t>
            </w:r>
          </w:p>
        </w:tc>
        <w:tc>
          <w:tcPr>
            <w:tcW w:w="5108" w:type="dxa"/>
            <w:shd w:val="clear" w:color="auto" w:fill="auto"/>
            <w:tcMar>
              <w:top w:w="72" w:type="dxa"/>
              <w:left w:w="144" w:type="dxa"/>
              <w:bottom w:w="72" w:type="dxa"/>
              <w:right w:w="144" w:type="dxa"/>
            </w:tcMar>
            <w:hideMark/>
          </w:tcPr>
          <w:p w14:paraId="639C899F" w14:textId="52D7C140" w:rsidR="00EF3002" w:rsidRP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3.1</w:t>
            </w:r>
            <w:r w:rsidR="003C1F24" w:rsidRPr="001E15BD">
              <w:rPr>
                <w:rFonts w:ascii="Calibri" w:hAnsi="Calibri" w:cs="Calibri"/>
                <w:sz w:val="18"/>
                <w:szCs w:val="18"/>
              </w:rPr>
              <w:tab/>
            </w:r>
            <w:r w:rsidRPr="00EF3002">
              <w:rPr>
                <w:rFonts w:ascii="Calibri" w:hAnsi="Calibri" w:cs="Calibri"/>
                <w:sz w:val="18"/>
                <w:szCs w:val="18"/>
              </w:rPr>
              <w:t>Prudent discount rate.</w:t>
            </w:r>
          </w:p>
          <w:p w14:paraId="07588F3A" w14:textId="43275DC0" w:rsidR="00EF3002" w:rsidRP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3.2</w:t>
            </w:r>
            <w:r w:rsidR="003C1F24" w:rsidRPr="001E15BD">
              <w:rPr>
                <w:rFonts w:ascii="Calibri" w:hAnsi="Calibri" w:cs="Calibri"/>
                <w:sz w:val="18"/>
                <w:szCs w:val="18"/>
              </w:rPr>
              <w:tab/>
            </w:r>
            <w:r w:rsidRPr="00EF3002">
              <w:rPr>
                <w:rFonts w:ascii="Calibri" w:hAnsi="Calibri" w:cs="Calibri"/>
                <w:sz w:val="18"/>
                <w:szCs w:val="18"/>
              </w:rPr>
              <w:t>Derived from expected return on pension fund  investments OR high quality bonds OR a combination.</w:t>
            </w:r>
          </w:p>
          <w:p w14:paraId="6B7B5E36" w14:textId="1E2DF402" w:rsidR="00EF3002" w:rsidRP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3.3</w:t>
            </w:r>
            <w:r w:rsidR="003C1F24" w:rsidRPr="001E15BD">
              <w:rPr>
                <w:rFonts w:ascii="Calibri" w:hAnsi="Calibri" w:cs="Calibri"/>
                <w:sz w:val="18"/>
                <w:szCs w:val="18"/>
              </w:rPr>
              <w:tab/>
            </w:r>
            <w:r w:rsidRPr="00EF3002">
              <w:rPr>
                <w:rFonts w:ascii="Calibri" w:hAnsi="Calibri" w:cs="Calibri"/>
                <w:sz w:val="18"/>
                <w:szCs w:val="18"/>
              </w:rPr>
              <w:t>Rate usually to be determined by plan trustee/fiduciary and employer.  In default of agreement fixed by UK Pensions Regulator (no reported determination as parties usually agree  given what Regulator may determine)</w:t>
            </w:r>
          </w:p>
        </w:tc>
        <w:tc>
          <w:tcPr>
            <w:tcW w:w="2972" w:type="dxa"/>
            <w:shd w:val="clear" w:color="auto" w:fill="auto"/>
            <w:tcMar>
              <w:top w:w="72" w:type="dxa"/>
              <w:left w:w="144" w:type="dxa"/>
              <w:bottom w:w="72" w:type="dxa"/>
              <w:right w:w="144" w:type="dxa"/>
            </w:tcMar>
            <w:hideMark/>
          </w:tcPr>
          <w:p w14:paraId="76DA3C05" w14:textId="2A846D77" w:rsidR="00EF3002" w:rsidRDefault="00EF3002" w:rsidP="00BD568C">
            <w:pPr>
              <w:tabs>
                <w:tab w:val="left" w:pos="276"/>
              </w:tabs>
              <w:ind w:left="276" w:hanging="276"/>
              <w:jc w:val="both"/>
              <w:rPr>
                <w:rFonts w:ascii="Calibri" w:hAnsi="Calibri" w:cs="Calibri"/>
                <w:sz w:val="18"/>
                <w:szCs w:val="18"/>
              </w:rPr>
            </w:pPr>
            <w:r w:rsidRPr="00EF3002">
              <w:rPr>
                <w:rFonts w:ascii="Calibri" w:hAnsi="Calibri" w:cs="Calibri"/>
                <w:sz w:val="18"/>
                <w:szCs w:val="18"/>
              </w:rPr>
              <w:t>3.1</w:t>
            </w:r>
            <w:r w:rsidR="003C1F24" w:rsidRPr="001E15BD">
              <w:rPr>
                <w:rFonts w:ascii="Calibri" w:hAnsi="Calibri" w:cs="Calibri"/>
                <w:sz w:val="18"/>
                <w:szCs w:val="18"/>
              </w:rPr>
              <w:tab/>
            </w:r>
            <w:r w:rsidRPr="00EF3002">
              <w:rPr>
                <w:rFonts w:ascii="Calibri" w:hAnsi="Calibri" w:cs="Calibri"/>
                <w:sz w:val="18"/>
                <w:szCs w:val="18"/>
              </w:rPr>
              <w:t>Under UK legislation transposing IORP II Directive Article 13(4)</w:t>
            </w:r>
          </w:p>
          <w:p w14:paraId="655C633F" w14:textId="24278DC1" w:rsidR="0044204D" w:rsidRPr="00EF3002" w:rsidRDefault="0044204D" w:rsidP="00BD568C">
            <w:pPr>
              <w:tabs>
                <w:tab w:val="left" w:pos="276"/>
              </w:tabs>
              <w:ind w:left="276" w:hanging="276"/>
              <w:jc w:val="both"/>
              <w:rPr>
                <w:rFonts w:ascii="Calibri" w:hAnsi="Calibri" w:cs="Calibri"/>
                <w:sz w:val="18"/>
                <w:szCs w:val="18"/>
              </w:rPr>
            </w:pPr>
            <w:r>
              <w:rPr>
                <w:rFonts w:ascii="Calibri" w:hAnsi="Calibri" w:cs="Calibri"/>
                <w:sz w:val="18"/>
                <w:szCs w:val="18"/>
              </w:rPr>
              <w:t>3.</w:t>
            </w:r>
            <w:r w:rsidR="0094490D">
              <w:rPr>
                <w:rFonts w:ascii="Calibri" w:hAnsi="Calibri" w:cs="Calibri"/>
                <w:sz w:val="18"/>
                <w:szCs w:val="18"/>
              </w:rPr>
              <w:t xml:space="preserve">2 </w:t>
            </w:r>
            <w:r>
              <w:rPr>
                <w:rFonts w:ascii="Calibri" w:hAnsi="Calibri" w:cs="Calibri"/>
                <w:sz w:val="18"/>
                <w:szCs w:val="18"/>
              </w:rPr>
              <w:t>UK Pensions Regulator can c</w:t>
            </w:r>
            <w:r w:rsidR="00571895">
              <w:rPr>
                <w:rFonts w:ascii="Calibri" w:hAnsi="Calibri" w:cs="Calibri"/>
                <w:sz w:val="18"/>
                <w:szCs w:val="18"/>
              </w:rPr>
              <w:t>hallenge whether the discount rate is prudent and seeks to influence it</w:t>
            </w:r>
            <w:r w:rsidR="008D7D27">
              <w:rPr>
                <w:rFonts w:ascii="Calibri" w:hAnsi="Calibri" w:cs="Calibri"/>
                <w:sz w:val="18"/>
                <w:szCs w:val="18"/>
              </w:rPr>
              <w:t xml:space="preserve">. New Regulations </w:t>
            </w:r>
            <w:r w:rsidR="00336650">
              <w:rPr>
                <w:rFonts w:ascii="Calibri" w:hAnsi="Calibri" w:cs="Calibri"/>
                <w:sz w:val="18"/>
                <w:szCs w:val="18"/>
              </w:rPr>
              <w:t>(and a yet to be published Code of Practice seek to influence it further</w:t>
            </w:r>
            <w:r w:rsidR="00642581">
              <w:rPr>
                <w:rFonts w:ascii="Calibri" w:hAnsi="Calibri" w:cs="Calibri"/>
                <w:sz w:val="18"/>
                <w:szCs w:val="18"/>
              </w:rPr>
              <w:t>)</w:t>
            </w:r>
            <w:r w:rsidR="00642581">
              <w:rPr>
                <w:rStyle w:val="FootnoteReference"/>
                <w:rFonts w:ascii="Calibri" w:hAnsi="Calibri" w:cs="Calibri"/>
                <w:sz w:val="18"/>
                <w:szCs w:val="18"/>
              </w:rPr>
              <w:footnoteReference w:id="22"/>
            </w:r>
          </w:p>
          <w:p w14:paraId="2D3D7624" w14:textId="1133FD3B" w:rsidR="00EF3002" w:rsidRPr="00EF3002" w:rsidRDefault="00EF3002" w:rsidP="00BD568C">
            <w:pPr>
              <w:tabs>
                <w:tab w:val="left" w:pos="276"/>
              </w:tabs>
              <w:ind w:left="276" w:hanging="276"/>
              <w:jc w:val="both"/>
              <w:rPr>
                <w:rFonts w:ascii="Calibri" w:hAnsi="Calibri" w:cs="Calibri"/>
                <w:sz w:val="18"/>
                <w:szCs w:val="18"/>
              </w:rPr>
            </w:pPr>
            <w:r w:rsidRPr="00EF3002">
              <w:rPr>
                <w:rFonts w:ascii="Calibri" w:hAnsi="Calibri" w:cs="Calibri"/>
                <w:sz w:val="18"/>
                <w:szCs w:val="18"/>
              </w:rPr>
              <w:t>3.</w:t>
            </w:r>
            <w:r w:rsidR="008D7D27">
              <w:rPr>
                <w:rFonts w:ascii="Calibri" w:hAnsi="Calibri" w:cs="Calibri"/>
                <w:sz w:val="18"/>
                <w:szCs w:val="18"/>
              </w:rPr>
              <w:t>3</w:t>
            </w:r>
            <w:r w:rsidR="003C1F24" w:rsidRPr="001E15BD">
              <w:rPr>
                <w:rFonts w:ascii="Calibri" w:hAnsi="Calibri" w:cs="Calibri"/>
                <w:sz w:val="18"/>
                <w:szCs w:val="18"/>
              </w:rPr>
              <w:tab/>
            </w:r>
            <w:r w:rsidRPr="00EF3002">
              <w:rPr>
                <w:rFonts w:ascii="Calibri" w:hAnsi="Calibri" w:cs="Calibri"/>
                <w:sz w:val="18"/>
                <w:szCs w:val="18"/>
              </w:rPr>
              <w:t>Currently unaffected by Brexit</w:t>
            </w:r>
          </w:p>
        </w:tc>
      </w:tr>
      <w:tr w:rsidR="001E15BD" w:rsidRPr="001E15BD" w14:paraId="37EDDA8A" w14:textId="77777777" w:rsidTr="001E06AE">
        <w:trPr>
          <w:trHeight w:val="584"/>
        </w:trPr>
        <w:tc>
          <w:tcPr>
            <w:tcW w:w="1408" w:type="dxa"/>
            <w:shd w:val="clear" w:color="auto" w:fill="auto"/>
            <w:tcMar>
              <w:top w:w="72" w:type="dxa"/>
              <w:left w:w="144" w:type="dxa"/>
              <w:bottom w:w="72" w:type="dxa"/>
              <w:right w:w="144" w:type="dxa"/>
            </w:tcMar>
            <w:hideMark/>
          </w:tcPr>
          <w:p w14:paraId="13F4459A" w14:textId="77777777" w:rsidR="00EF3002" w:rsidRPr="00EF3002" w:rsidRDefault="00EF3002" w:rsidP="003C1F24">
            <w:pPr>
              <w:ind w:left="720" w:hanging="720"/>
              <w:jc w:val="both"/>
              <w:rPr>
                <w:rFonts w:ascii="Calibri" w:hAnsi="Calibri" w:cs="Calibri"/>
                <w:sz w:val="18"/>
                <w:szCs w:val="18"/>
              </w:rPr>
            </w:pPr>
            <w:r w:rsidRPr="00EF3002">
              <w:rPr>
                <w:rFonts w:ascii="Calibri" w:hAnsi="Calibri" w:cs="Calibri"/>
                <w:sz w:val="18"/>
                <w:szCs w:val="18"/>
              </w:rPr>
              <w:t>USA</w:t>
            </w:r>
          </w:p>
        </w:tc>
        <w:tc>
          <w:tcPr>
            <w:tcW w:w="5108" w:type="dxa"/>
            <w:shd w:val="clear" w:color="auto" w:fill="auto"/>
            <w:tcMar>
              <w:top w:w="72" w:type="dxa"/>
              <w:left w:w="144" w:type="dxa"/>
              <w:bottom w:w="72" w:type="dxa"/>
              <w:right w:w="144" w:type="dxa"/>
            </w:tcMar>
            <w:hideMark/>
          </w:tcPr>
          <w:p w14:paraId="25165F34" w14:textId="77777777" w:rsidR="00EF3002" w:rsidRDefault="00EF3002" w:rsidP="003C1F24">
            <w:pPr>
              <w:ind w:left="279" w:hanging="279"/>
              <w:jc w:val="both"/>
              <w:rPr>
                <w:rFonts w:ascii="Calibri" w:hAnsi="Calibri" w:cs="Calibri"/>
                <w:sz w:val="18"/>
                <w:szCs w:val="18"/>
              </w:rPr>
            </w:pPr>
            <w:r w:rsidRPr="00EF3002">
              <w:rPr>
                <w:rFonts w:ascii="Calibri" w:hAnsi="Calibri" w:cs="Calibri"/>
                <w:sz w:val="18"/>
                <w:szCs w:val="18"/>
              </w:rPr>
              <w:t>4.1</w:t>
            </w:r>
            <w:r w:rsidR="003C1F24" w:rsidRPr="001E15BD">
              <w:rPr>
                <w:rFonts w:ascii="Calibri" w:hAnsi="Calibri" w:cs="Calibri"/>
                <w:sz w:val="18"/>
                <w:szCs w:val="18"/>
              </w:rPr>
              <w:tab/>
            </w:r>
            <w:r w:rsidRPr="00EF3002">
              <w:rPr>
                <w:rFonts w:ascii="Calibri" w:hAnsi="Calibri" w:cs="Calibri"/>
                <w:sz w:val="18"/>
                <w:szCs w:val="18"/>
              </w:rPr>
              <w:t>For private sector employer plans specified in regulations (no discretion)</w:t>
            </w:r>
          </w:p>
          <w:p w14:paraId="008E554B" w14:textId="744E0851" w:rsidR="00DC10CA" w:rsidRDefault="00DC10CA" w:rsidP="003C1F24">
            <w:pPr>
              <w:ind w:left="279" w:hanging="279"/>
              <w:jc w:val="both"/>
              <w:rPr>
                <w:rFonts w:ascii="Calibri" w:hAnsi="Calibri" w:cs="Calibri"/>
                <w:sz w:val="18"/>
                <w:szCs w:val="18"/>
              </w:rPr>
            </w:pPr>
            <w:r>
              <w:rPr>
                <w:rFonts w:ascii="Calibri" w:hAnsi="Calibri" w:cs="Calibri"/>
                <w:sz w:val="18"/>
                <w:szCs w:val="18"/>
              </w:rPr>
              <w:t xml:space="preserve">4.2 </w:t>
            </w:r>
            <w:r w:rsidRPr="00DC10CA">
              <w:rPr>
                <w:rFonts w:ascii="Calibri" w:hAnsi="Calibri" w:cs="Calibri"/>
                <w:sz w:val="18"/>
                <w:szCs w:val="18"/>
              </w:rPr>
              <w:t>For collectively bargained plans covering more than one employer (</w:t>
            </w:r>
            <w:r w:rsidR="00DF5879" w:rsidRPr="00DC10CA">
              <w:rPr>
                <w:rFonts w:ascii="Calibri" w:hAnsi="Calibri" w:cs="Calibri"/>
                <w:sz w:val="18"/>
                <w:szCs w:val="18"/>
              </w:rPr>
              <w:t>multi-employer</w:t>
            </w:r>
            <w:r w:rsidRPr="00DC10CA">
              <w:rPr>
                <w:rFonts w:ascii="Calibri" w:hAnsi="Calibri" w:cs="Calibri"/>
                <w:sz w:val="18"/>
                <w:szCs w:val="18"/>
              </w:rPr>
              <w:t xml:space="preserve"> plans), must be reasonable and represent the actuary’s best estimate of anticipated experience </w:t>
            </w:r>
          </w:p>
          <w:p w14:paraId="1D1ECE62" w14:textId="46A4E628" w:rsidR="00DC10CA" w:rsidRPr="00EF3002" w:rsidRDefault="00DC10CA" w:rsidP="003C1F24">
            <w:pPr>
              <w:ind w:left="279" w:hanging="279"/>
              <w:jc w:val="both"/>
              <w:rPr>
                <w:rFonts w:ascii="Calibri" w:hAnsi="Calibri" w:cs="Calibri"/>
                <w:sz w:val="18"/>
                <w:szCs w:val="18"/>
              </w:rPr>
            </w:pPr>
            <w:r>
              <w:rPr>
                <w:rFonts w:ascii="Calibri" w:hAnsi="Calibri" w:cs="Calibri"/>
                <w:sz w:val="18"/>
                <w:szCs w:val="18"/>
              </w:rPr>
              <w:t xml:space="preserve">4.3 </w:t>
            </w:r>
            <w:r w:rsidRPr="00DC10CA">
              <w:rPr>
                <w:rFonts w:ascii="Calibri" w:hAnsi="Calibri" w:cs="Calibri"/>
                <w:sz w:val="18"/>
                <w:szCs w:val="18"/>
              </w:rPr>
              <w:t>For governmental plans specified in applicable local law</w:t>
            </w:r>
          </w:p>
        </w:tc>
        <w:tc>
          <w:tcPr>
            <w:tcW w:w="2972" w:type="dxa"/>
            <w:shd w:val="clear" w:color="auto" w:fill="auto"/>
            <w:tcMar>
              <w:top w:w="72" w:type="dxa"/>
              <w:left w:w="144" w:type="dxa"/>
              <w:bottom w:w="72" w:type="dxa"/>
              <w:right w:w="144" w:type="dxa"/>
            </w:tcMar>
            <w:hideMark/>
          </w:tcPr>
          <w:p w14:paraId="41E04A3C" w14:textId="77777777" w:rsidR="00EF3002" w:rsidRPr="00EF3002" w:rsidRDefault="00EF3002" w:rsidP="00BD568C">
            <w:pPr>
              <w:tabs>
                <w:tab w:val="left" w:pos="276"/>
              </w:tabs>
              <w:ind w:left="276" w:hanging="276"/>
              <w:jc w:val="both"/>
              <w:rPr>
                <w:rFonts w:ascii="Calibri" w:hAnsi="Calibri" w:cs="Calibri"/>
                <w:sz w:val="18"/>
                <w:szCs w:val="18"/>
              </w:rPr>
            </w:pPr>
            <w:r w:rsidRPr="00EF3002">
              <w:rPr>
                <w:rFonts w:ascii="Calibri" w:hAnsi="Calibri" w:cs="Calibri"/>
                <w:sz w:val="18"/>
                <w:szCs w:val="18"/>
              </w:rPr>
              <w:t>4.1 Internal Revenue Code and Regulations under it</w:t>
            </w:r>
          </w:p>
          <w:p w14:paraId="548CC852" w14:textId="2701C852" w:rsidR="00EF3002" w:rsidRPr="00EF3002" w:rsidRDefault="00EF3002" w:rsidP="00BD568C">
            <w:pPr>
              <w:tabs>
                <w:tab w:val="left" w:pos="276"/>
              </w:tabs>
              <w:ind w:left="276" w:hanging="276"/>
              <w:jc w:val="both"/>
              <w:rPr>
                <w:rFonts w:ascii="Calibri" w:hAnsi="Calibri" w:cs="Calibri"/>
                <w:sz w:val="18"/>
                <w:szCs w:val="18"/>
              </w:rPr>
            </w:pPr>
            <w:r w:rsidRPr="00EF3002">
              <w:rPr>
                <w:rFonts w:ascii="Calibri" w:hAnsi="Calibri" w:cs="Calibri"/>
                <w:sz w:val="18"/>
                <w:szCs w:val="18"/>
              </w:rPr>
              <w:t>4.2</w:t>
            </w:r>
            <w:r w:rsidR="003C1F24" w:rsidRPr="001E15BD">
              <w:rPr>
                <w:rFonts w:ascii="Calibri" w:hAnsi="Calibri" w:cs="Calibri"/>
                <w:sz w:val="18"/>
                <w:szCs w:val="18"/>
              </w:rPr>
              <w:tab/>
            </w:r>
            <w:r w:rsidRPr="00EF3002">
              <w:rPr>
                <w:rFonts w:ascii="Calibri" w:hAnsi="Calibri" w:cs="Calibri"/>
                <w:sz w:val="18"/>
                <w:szCs w:val="18"/>
              </w:rPr>
              <w:t>Tax revenue incentive for Congress  to keep discount rate higher as reduces deficit (and therefore tax deductible employer contributions)</w:t>
            </w:r>
          </w:p>
        </w:tc>
      </w:tr>
    </w:tbl>
    <w:p w14:paraId="765BF23A" w14:textId="77777777" w:rsidR="00EF3002" w:rsidRDefault="00EF3002" w:rsidP="001E06AE">
      <w:pPr>
        <w:ind w:left="720" w:hanging="720"/>
        <w:jc w:val="both"/>
        <w:rPr>
          <w:rFonts w:ascii="Calibri" w:hAnsi="Calibri" w:cs="Calibri"/>
        </w:rPr>
      </w:pPr>
    </w:p>
    <w:p w14:paraId="7AF72365" w14:textId="77777777" w:rsidR="00E31D76" w:rsidRDefault="008F42A9" w:rsidP="001E06AE">
      <w:pPr>
        <w:ind w:left="720" w:hanging="720"/>
        <w:jc w:val="both"/>
        <w:rPr>
          <w:rFonts w:ascii="Calibri" w:hAnsi="Calibri" w:cs="Calibri"/>
        </w:rPr>
      </w:pPr>
      <w:r>
        <w:rPr>
          <w:rFonts w:ascii="Calibri" w:hAnsi="Calibri" w:cs="Calibri"/>
        </w:rPr>
        <w:t>4.</w:t>
      </w:r>
      <w:r>
        <w:rPr>
          <w:rFonts w:ascii="Calibri" w:hAnsi="Calibri" w:cs="Calibri"/>
        </w:rPr>
        <w:tab/>
        <w:t>For accounting purposes, t</w:t>
      </w:r>
      <w:r w:rsidR="001E06AE">
        <w:rPr>
          <w:rFonts w:ascii="Calibri" w:hAnsi="Calibri" w:cs="Calibri"/>
        </w:rPr>
        <w:t xml:space="preserve">he </w:t>
      </w:r>
      <w:r>
        <w:rPr>
          <w:rFonts w:ascii="Calibri" w:hAnsi="Calibri" w:cs="Calibri"/>
        </w:rPr>
        <w:t xml:space="preserve">way in which the </w:t>
      </w:r>
      <w:r w:rsidR="001E06AE">
        <w:rPr>
          <w:rFonts w:ascii="Calibri" w:hAnsi="Calibri" w:cs="Calibri"/>
        </w:rPr>
        <w:t xml:space="preserve">discount rate </w:t>
      </w:r>
      <w:r>
        <w:rPr>
          <w:rFonts w:ascii="Calibri" w:hAnsi="Calibri" w:cs="Calibri"/>
        </w:rPr>
        <w:t>is to be determined is specified in the applicable accounting standards</w:t>
      </w:r>
      <w:r w:rsidR="00E31D76">
        <w:rPr>
          <w:rFonts w:ascii="Calibri" w:hAnsi="Calibri" w:cs="Calibri"/>
        </w:rPr>
        <w:t>:</w:t>
      </w:r>
    </w:p>
    <w:p w14:paraId="4576E741" w14:textId="1D6FF9DE" w:rsidR="001E06AE" w:rsidRDefault="00E31D76" w:rsidP="00E31D76">
      <w:pPr>
        <w:pStyle w:val="ListParagraph"/>
        <w:numPr>
          <w:ilvl w:val="0"/>
          <w:numId w:val="16"/>
        </w:numPr>
        <w:ind w:left="1080"/>
        <w:jc w:val="both"/>
        <w:rPr>
          <w:rFonts w:ascii="Calibri" w:hAnsi="Calibri" w:cs="Calibri"/>
        </w:rPr>
      </w:pPr>
      <w:r>
        <w:rPr>
          <w:rFonts w:ascii="Calibri" w:hAnsi="Calibri" w:cs="Calibri"/>
        </w:rPr>
        <w:t>for Stock Exchange listed companies in Belgium, France and the UK, that accounting system is IAS</w:t>
      </w:r>
      <w:r w:rsidR="00F052D1">
        <w:rPr>
          <w:rFonts w:ascii="Calibri" w:hAnsi="Calibri" w:cs="Calibri"/>
        </w:rPr>
        <w:t xml:space="preserve"> 19</w:t>
      </w:r>
      <w:r>
        <w:rPr>
          <w:rFonts w:ascii="Calibri" w:hAnsi="Calibri" w:cs="Calibri"/>
        </w:rPr>
        <w:t>, and</w:t>
      </w:r>
    </w:p>
    <w:p w14:paraId="17742D9D" w14:textId="030261CF" w:rsidR="00E31D76" w:rsidRDefault="00B50FE3" w:rsidP="00E31D76">
      <w:pPr>
        <w:pStyle w:val="ListParagraph"/>
        <w:numPr>
          <w:ilvl w:val="0"/>
          <w:numId w:val="16"/>
        </w:numPr>
        <w:ind w:left="1080"/>
        <w:jc w:val="both"/>
        <w:rPr>
          <w:rFonts w:ascii="Calibri" w:hAnsi="Calibri" w:cs="Calibri"/>
        </w:rPr>
      </w:pPr>
      <w:r>
        <w:rPr>
          <w:rFonts w:ascii="Calibri" w:hAnsi="Calibri" w:cs="Calibri"/>
        </w:rPr>
        <w:t xml:space="preserve">in the US it is FASB ASC 715.  </w:t>
      </w:r>
    </w:p>
    <w:p w14:paraId="511CFA1B" w14:textId="0B14ADCB" w:rsidR="000B6B3B" w:rsidRDefault="00B50FE3" w:rsidP="000B6B3B">
      <w:pPr>
        <w:ind w:left="720" w:hanging="720"/>
        <w:jc w:val="both"/>
        <w:rPr>
          <w:rFonts w:ascii="Calibri" w:hAnsi="Calibri" w:cs="Calibri"/>
        </w:rPr>
      </w:pPr>
      <w:r>
        <w:rPr>
          <w:rFonts w:ascii="Calibri" w:hAnsi="Calibri" w:cs="Calibri"/>
        </w:rPr>
        <w:t>5.</w:t>
      </w:r>
      <w:r>
        <w:rPr>
          <w:rFonts w:ascii="Calibri" w:hAnsi="Calibri" w:cs="Calibri"/>
        </w:rPr>
        <w:tab/>
        <w:t>Under both sets of accounting standards, the discount rate must be derived, in general terms, from the yield</w:t>
      </w:r>
      <w:r w:rsidR="00234486">
        <w:rPr>
          <w:rFonts w:ascii="Calibri" w:hAnsi="Calibri" w:cs="Calibri"/>
        </w:rPr>
        <w:t>,</w:t>
      </w:r>
      <w:r>
        <w:rPr>
          <w:rFonts w:ascii="Calibri" w:hAnsi="Calibri" w:cs="Calibri"/>
        </w:rPr>
        <w:t xml:space="preserve"> as at the balance sheet date </w:t>
      </w:r>
      <w:r w:rsidR="004F1CEA">
        <w:rPr>
          <w:rFonts w:ascii="Calibri" w:hAnsi="Calibri" w:cs="Calibri"/>
        </w:rPr>
        <w:t xml:space="preserve">of the accounts for the company </w:t>
      </w:r>
      <w:r>
        <w:rPr>
          <w:rFonts w:ascii="Calibri" w:hAnsi="Calibri" w:cs="Calibri"/>
        </w:rPr>
        <w:t>in question</w:t>
      </w:r>
      <w:r w:rsidR="004F1CEA">
        <w:rPr>
          <w:rFonts w:ascii="Calibri" w:hAnsi="Calibri" w:cs="Calibri"/>
        </w:rPr>
        <w:t xml:space="preserve">, on </w:t>
      </w:r>
      <w:r w:rsidR="000B6B3B">
        <w:rPr>
          <w:rFonts w:ascii="Calibri" w:hAnsi="Calibri" w:cs="Calibri"/>
        </w:rPr>
        <w:t>AA credit rated bonds of corresponding maturities to the retirement benefit payment obligations of the DB pension plan.</w:t>
      </w:r>
    </w:p>
    <w:p w14:paraId="7A7F84E8" w14:textId="671CCB89" w:rsidR="000B6B3B" w:rsidRDefault="00D5179B" w:rsidP="000B6B3B">
      <w:pPr>
        <w:ind w:left="720" w:hanging="720"/>
        <w:jc w:val="both"/>
        <w:rPr>
          <w:rFonts w:ascii="Calibri" w:hAnsi="Calibri" w:cs="Calibri"/>
          <w:b/>
          <w:bCs/>
          <w:u w:val="single"/>
        </w:rPr>
      </w:pPr>
      <w:r w:rsidRPr="00D5179B">
        <w:rPr>
          <w:rFonts w:ascii="Calibri" w:hAnsi="Calibri" w:cs="Calibri"/>
          <w:b/>
          <w:bCs/>
        </w:rPr>
        <w:t>E.</w:t>
      </w:r>
      <w:r w:rsidRPr="00D5179B">
        <w:rPr>
          <w:rFonts w:ascii="Calibri" w:hAnsi="Calibri" w:cs="Calibri"/>
          <w:b/>
          <w:bCs/>
        </w:rPr>
        <w:tab/>
      </w:r>
      <w:r w:rsidRPr="00D5179B">
        <w:rPr>
          <w:rFonts w:ascii="Calibri" w:hAnsi="Calibri" w:cs="Calibri"/>
          <w:b/>
          <w:bCs/>
          <w:u w:val="single"/>
        </w:rPr>
        <w:t>Surpluses and deficits</w:t>
      </w:r>
      <w:r w:rsidR="00832E06">
        <w:rPr>
          <w:rFonts w:ascii="Calibri" w:hAnsi="Calibri" w:cs="Calibri"/>
          <w:b/>
          <w:bCs/>
          <w:u w:val="single"/>
        </w:rPr>
        <w:t>: A reminder</w:t>
      </w:r>
    </w:p>
    <w:p w14:paraId="1C448719" w14:textId="2D9A1B47" w:rsidR="002D1F09" w:rsidRDefault="00D5179B" w:rsidP="0042421F">
      <w:pPr>
        <w:ind w:left="720" w:hanging="720"/>
        <w:jc w:val="both"/>
        <w:rPr>
          <w:rFonts w:ascii="Calibri" w:hAnsi="Calibri" w:cs="Calibri"/>
        </w:rPr>
      </w:pPr>
      <w:r>
        <w:rPr>
          <w:rFonts w:ascii="Calibri" w:hAnsi="Calibri" w:cs="Calibri"/>
        </w:rPr>
        <w:t>1.</w:t>
      </w:r>
      <w:r>
        <w:rPr>
          <w:rFonts w:ascii="Calibri" w:hAnsi="Calibri" w:cs="Calibri"/>
        </w:rPr>
        <w:tab/>
      </w:r>
      <w:r w:rsidR="005C08F8">
        <w:rPr>
          <w:rFonts w:ascii="Calibri" w:hAnsi="Calibri" w:cs="Calibri"/>
          <w:caps/>
        </w:rPr>
        <w:t xml:space="preserve">A </w:t>
      </w:r>
      <w:r w:rsidR="005C08F8">
        <w:rPr>
          <w:rFonts w:ascii="Calibri" w:hAnsi="Calibri" w:cs="Calibri"/>
        </w:rPr>
        <w:t>surplus, as at a measuring point</w:t>
      </w:r>
      <w:r w:rsidR="00AF051B">
        <w:rPr>
          <w:rFonts w:ascii="Calibri" w:hAnsi="Calibri" w:cs="Calibri"/>
        </w:rPr>
        <w:t xml:space="preserve"> in relation to an ongoing DB pension plan</w:t>
      </w:r>
      <w:r w:rsidR="00B3554B">
        <w:rPr>
          <w:rFonts w:ascii="Calibri" w:hAnsi="Calibri" w:cs="Calibri"/>
        </w:rPr>
        <w:t>,</w:t>
      </w:r>
      <w:r w:rsidR="0042421F">
        <w:rPr>
          <w:rFonts w:ascii="Calibri" w:hAnsi="Calibri" w:cs="Calibri"/>
        </w:rPr>
        <w:t xml:space="preserve"> </w:t>
      </w:r>
      <w:r w:rsidR="00AF051B" w:rsidRPr="00EE6184">
        <w:rPr>
          <w:rFonts w:ascii="Calibri" w:hAnsi="Calibri" w:cs="Calibri"/>
        </w:rPr>
        <w:t>arises where</w:t>
      </w:r>
      <w:r w:rsidR="00736CC6">
        <w:rPr>
          <w:rFonts w:ascii="Calibri" w:hAnsi="Calibri" w:cs="Calibri"/>
        </w:rPr>
        <w:t>;</w:t>
      </w:r>
    </w:p>
    <w:p w14:paraId="2A7830FE" w14:textId="77777777" w:rsidR="002D1F09" w:rsidRDefault="00AF051B" w:rsidP="002D1F09">
      <w:pPr>
        <w:pStyle w:val="ListParagraph"/>
        <w:numPr>
          <w:ilvl w:val="0"/>
          <w:numId w:val="26"/>
        </w:numPr>
        <w:jc w:val="both"/>
        <w:rPr>
          <w:rFonts w:ascii="Calibri" w:hAnsi="Calibri" w:cs="Calibri"/>
        </w:rPr>
      </w:pPr>
      <w:r w:rsidRPr="002D1F09">
        <w:rPr>
          <w:rFonts w:ascii="Calibri" w:hAnsi="Calibri" w:cs="Calibri"/>
        </w:rPr>
        <w:t>the present amount of the future retirement benefit obligations (calculated on the assumptions including how long members will live and the discount rate to be used),</w:t>
      </w:r>
      <w:r w:rsidR="0042421F" w:rsidRPr="002D1F09">
        <w:rPr>
          <w:rFonts w:ascii="Calibri" w:hAnsi="Calibri" w:cs="Calibri"/>
        </w:rPr>
        <w:t xml:space="preserve"> </w:t>
      </w:r>
    </w:p>
    <w:p w14:paraId="2E38FDE2" w14:textId="77777777" w:rsidR="002D1F09" w:rsidRDefault="0042421F" w:rsidP="002D1F09">
      <w:pPr>
        <w:ind w:left="50" w:firstLine="360"/>
        <w:jc w:val="both"/>
        <w:rPr>
          <w:rFonts w:ascii="Calibri" w:hAnsi="Calibri" w:cs="Calibri"/>
        </w:rPr>
      </w:pPr>
      <w:r w:rsidRPr="002D1F09">
        <w:rPr>
          <w:rFonts w:ascii="Calibri" w:hAnsi="Calibri" w:cs="Calibri"/>
        </w:rPr>
        <w:t xml:space="preserve">is </w:t>
      </w:r>
      <w:r w:rsidRPr="002D1F09">
        <w:rPr>
          <w:rFonts w:ascii="Calibri" w:hAnsi="Calibri" w:cs="Calibri"/>
          <w:b/>
          <w:bCs/>
        </w:rPr>
        <w:t>lower</w:t>
      </w:r>
      <w:r w:rsidRPr="002D1F09">
        <w:rPr>
          <w:rFonts w:ascii="Calibri" w:hAnsi="Calibri" w:cs="Calibri"/>
        </w:rPr>
        <w:t xml:space="preserve"> </w:t>
      </w:r>
      <w:r w:rsidR="000011E7" w:rsidRPr="002D1F09">
        <w:rPr>
          <w:rFonts w:ascii="Calibri" w:hAnsi="Calibri" w:cs="Calibri"/>
        </w:rPr>
        <w:t>than</w:t>
      </w:r>
    </w:p>
    <w:p w14:paraId="6CEF5289" w14:textId="28C522E8" w:rsidR="00FC1A5B" w:rsidRPr="002D1F09" w:rsidRDefault="00FC1A5B" w:rsidP="002D1F09">
      <w:pPr>
        <w:pStyle w:val="ListParagraph"/>
        <w:numPr>
          <w:ilvl w:val="0"/>
          <w:numId w:val="26"/>
        </w:numPr>
        <w:jc w:val="both"/>
        <w:rPr>
          <w:rFonts w:ascii="Calibri" w:hAnsi="Calibri" w:cs="Calibri"/>
        </w:rPr>
      </w:pPr>
      <w:r w:rsidRPr="002D1F09">
        <w:rPr>
          <w:rFonts w:ascii="Calibri" w:hAnsi="Calibri" w:cs="Calibri"/>
        </w:rPr>
        <w:t>the value of the plan assets available to meet those retirement benefit obligations as at the same measuring date.</w:t>
      </w:r>
    </w:p>
    <w:p w14:paraId="5FC42E07" w14:textId="0426B2CA" w:rsidR="00040929" w:rsidRDefault="00FC1A5B" w:rsidP="000011E7">
      <w:pPr>
        <w:ind w:left="720" w:hanging="720"/>
        <w:jc w:val="both"/>
        <w:rPr>
          <w:rFonts w:ascii="Calibri" w:hAnsi="Calibri" w:cs="Calibri"/>
        </w:rPr>
      </w:pPr>
      <w:r>
        <w:rPr>
          <w:rFonts w:ascii="Calibri" w:hAnsi="Calibri" w:cs="Calibri"/>
        </w:rPr>
        <w:t>2.</w:t>
      </w:r>
      <w:r>
        <w:rPr>
          <w:rFonts w:ascii="Calibri" w:hAnsi="Calibri" w:cs="Calibri"/>
        </w:rPr>
        <w:tab/>
      </w:r>
      <w:r>
        <w:rPr>
          <w:rFonts w:ascii="Calibri" w:hAnsi="Calibri" w:cs="Calibri"/>
          <w:caps/>
        </w:rPr>
        <w:t xml:space="preserve">A </w:t>
      </w:r>
      <w:r>
        <w:rPr>
          <w:rFonts w:ascii="Calibri" w:hAnsi="Calibri" w:cs="Calibri"/>
        </w:rPr>
        <w:t>deficit, as at a measuring point in relation to an ongoing DB pension plan</w:t>
      </w:r>
      <w:r w:rsidR="00736CC6">
        <w:rPr>
          <w:rFonts w:ascii="Calibri" w:hAnsi="Calibri" w:cs="Calibri"/>
        </w:rPr>
        <w:t>,</w:t>
      </w:r>
      <w:r w:rsidR="0042421F">
        <w:rPr>
          <w:rFonts w:ascii="Calibri" w:hAnsi="Calibri" w:cs="Calibri"/>
        </w:rPr>
        <w:t xml:space="preserve"> </w:t>
      </w:r>
      <w:r w:rsidRPr="00721298">
        <w:rPr>
          <w:rFonts w:ascii="Calibri" w:hAnsi="Calibri" w:cs="Calibri"/>
        </w:rPr>
        <w:t>arises where</w:t>
      </w:r>
      <w:r w:rsidR="00040929">
        <w:rPr>
          <w:rFonts w:ascii="Calibri" w:hAnsi="Calibri" w:cs="Calibri"/>
        </w:rPr>
        <w:t>:</w:t>
      </w:r>
    </w:p>
    <w:p w14:paraId="362DCE47" w14:textId="77777777" w:rsidR="00630C54" w:rsidRDefault="00FC1A5B" w:rsidP="00040929">
      <w:pPr>
        <w:pStyle w:val="ListParagraph"/>
        <w:numPr>
          <w:ilvl w:val="0"/>
          <w:numId w:val="26"/>
        </w:numPr>
        <w:jc w:val="both"/>
        <w:rPr>
          <w:rFonts w:ascii="Calibri" w:hAnsi="Calibri" w:cs="Calibri"/>
        </w:rPr>
      </w:pPr>
      <w:r w:rsidRPr="00040929">
        <w:rPr>
          <w:rFonts w:ascii="Calibri" w:hAnsi="Calibri" w:cs="Calibri"/>
        </w:rPr>
        <w:lastRenderedPageBreak/>
        <w:t>the present amount of the future retirement benefit obligations (calculated on the assumptions including how long members will live and the discount rate to be used),</w:t>
      </w:r>
    </w:p>
    <w:p w14:paraId="77F32DA9" w14:textId="77777777" w:rsidR="00630C54" w:rsidRPr="00630C54" w:rsidRDefault="000011E7" w:rsidP="00630C54">
      <w:pPr>
        <w:ind w:left="50" w:firstLine="360"/>
        <w:jc w:val="both"/>
        <w:rPr>
          <w:rFonts w:ascii="Calibri" w:hAnsi="Calibri" w:cs="Calibri"/>
          <w:b/>
          <w:bCs/>
        </w:rPr>
      </w:pPr>
      <w:r w:rsidRPr="00630C54">
        <w:rPr>
          <w:rFonts w:ascii="Calibri" w:hAnsi="Calibri" w:cs="Calibri"/>
        </w:rPr>
        <w:t xml:space="preserve"> </w:t>
      </w:r>
      <w:r w:rsidR="00FC1A5B" w:rsidRPr="00630C54">
        <w:rPr>
          <w:rFonts w:ascii="Calibri" w:hAnsi="Calibri" w:cs="Calibri"/>
          <w:b/>
          <w:bCs/>
        </w:rPr>
        <w:t xml:space="preserve">exceeds </w:t>
      </w:r>
    </w:p>
    <w:p w14:paraId="5E2E55F9" w14:textId="77FE759E" w:rsidR="00FC1A5B" w:rsidRPr="00630C54" w:rsidRDefault="00FC1A5B" w:rsidP="00630C54">
      <w:pPr>
        <w:pStyle w:val="ListParagraph"/>
        <w:numPr>
          <w:ilvl w:val="0"/>
          <w:numId w:val="26"/>
        </w:numPr>
        <w:jc w:val="both"/>
        <w:rPr>
          <w:rFonts w:ascii="Calibri" w:hAnsi="Calibri" w:cs="Calibri"/>
        </w:rPr>
      </w:pPr>
      <w:r w:rsidRPr="00630C54">
        <w:rPr>
          <w:rFonts w:ascii="Calibri" w:hAnsi="Calibri" w:cs="Calibri"/>
        </w:rPr>
        <w:t>the value of the plan assets available to meet those retirement benefit obligations as at the same measuring date.</w:t>
      </w:r>
    </w:p>
    <w:p w14:paraId="4C9023AC" w14:textId="0A3EB461" w:rsidR="000011E7" w:rsidRDefault="000011E7" w:rsidP="000011E7">
      <w:pPr>
        <w:ind w:left="720" w:hanging="720"/>
        <w:jc w:val="both"/>
        <w:rPr>
          <w:rFonts w:ascii="Calibri" w:hAnsi="Calibri" w:cs="Calibri"/>
        </w:rPr>
      </w:pPr>
      <w:r>
        <w:rPr>
          <w:rFonts w:ascii="Calibri" w:hAnsi="Calibri" w:cs="Calibri"/>
        </w:rPr>
        <w:t>3.</w:t>
      </w:r>
      <w:r>
        <w:rPr>
          <w:rFonts w:ascii="Calibri" w:hAnsi="Calibri" w:cs="Calibri"/>
        </w:rPr>
        <w:tab/>
        <w:t xml:space="preserve">Where there is a mismatch between the discount rate used for </w:t>
      </w:r>
      <w:r w:rsidR="008A099A">
        <w:rPr>
          <w:rFonts w:ascii="Calibri" w:hAnsi="Calibri" w:cs="Calibri"/>
        </w:rPr>
        <w:t xml:space="preserve">funding </w:t>
      </w:r>
      <w:r>
        <w:rPr>
          <w:rFonts w:ascii="Calibri" w:hAnsi="Calibri" w:cs="Calibri"/>
        </w:rPr>
        <w:t xml:space="preserve">purposes and the discount rate used for </w:t>
      </w:r>
      <w:r w:rsidR="002E00B5">
        <w:rPr>
          <w:rFonts w:ascii="Calibri" w:hAnsi="Calibri" w:cs="Calibri"/>
        </w:rPr>
        <w:t>accounting purposes, it is possible to have:</w:t>
      </w:r>
    </w:p>
    <w:p w14:paraId="24EBD862" w14:textId="0FD43200" w:rsidR="002E00B5" w:rsidRDefault="002E00B5" w:rsidP="002E00B5">
      <w:pPr>
        <w:pStyle w:val="ListParagraph"/>
        <w:numPr>
          <w:ilvl w:val="0"/>
          <w:numId w:val="20"/>
        </w:numPr>
        <w:ind w:left="1080"/>
        <w:jc w:val="both"/>
        <w:rPr>
          <w:rFonts w:ascii="Calibri" w:hAnsi="Calibri" w:cs="Calibri"/>
        </w:rPr>
      </w:pPr>
      <w:r>
        <w:rPr>
          <w:rFonts w:ascii="Calibri" w:hAnsi="Calibri" w:cs="Calibri"/>
        </w:rPr>
        <w:t xml:space="preserve">a DB pension plan which is in </w:t>
      </w:r>
      <w:r w:rsidR="008A099A">
        <w:rPr>
          <w:rFonts w:ascii="Calibri" w:hAnsi="Calibri" w:cs="Calibri"/>
        </w:rPr>
        <w:t>deficit for funding purposes, but</w:t>
      </w:r>
    </w:p>
    <w:p w14:paraId="3CBB4570" w14:textId="68A3F093" w:rsidR="008A099A" w:rsidRDefault="008A099A" w:rsidP="002E00B5">
      <w:pPr>
        <w:pStyle w:val="ListParagraph"/>
        <w:numPr>
          <w:ilvl w:val="0"/>
          <w:numId w:val="20"/>
        </w:numPr>
        <w:ind w:left="1080"/>
        <w:jc w:val="both"/>
        <w:rPr>
          <w:rFonts w:ascii="Calibri" w:hAnsi="Calibri" w:cs="Calibri"/>
        </w:rPr>
      </w:pPr>
      <w:r>
        <w:rPr>
          <w:rFonts w:ascii="Calibri" w:hAnsi="Calibri" w:cs="Calibri"/>
        </w:rPr>
        <w:t>is in surplus for accounting purposes</w:t>
      </w:r>
      <w:r w:rsidR="00053F89">
        <w:rPr>
          <w:rFonts w:ascii="Calibri" w:hAnsi="Calibri" w:cs="Calibri"/>
        </w:rPr>
        <w:t xml:space="preserve">, </w:t>
      </w:r>
    </w:p>
    <w:p w14:paraId="684E03D1" w14:textId="46194E2F" w:rsidR="00053F89" w:rsidRDefault="00053F89" w:rsidP="00053F89">
      <w:pPr>
        <w:ind w:left="720"/>
        <w:jc w:val="both"/>
        <w:rPr>
          <w:rFonts w:ascii="Calibri" w:hAnsi="Calibri" w:cs="Calibri"/>
        </w:rPr>
      </w:pPr>
      <w:r>
        <w:rPr>
          <w:rFonts w:ascii="Calibri" w:hAnsi="Calibri" w:cs="Calibri"/>
        </w:rPr>
        <w:t xml:space="preserve">and </w:t>
      </w:r>
      <w:r w:rsidR="002210A3">
        <w:rPr>
          <w:rFonts w:ascii="Calibri" w:hAnsi="Calibri" w:cs="Calibri"/>
        </w:rPr>
        <w:t>vice versa.</w:t>
      </w:r>
    </w:p>
    <w:p w14:paraId="19BCD479" w14:textId="7BBBEC90" w:rsidR="00832E06" w:rsidRPr="00053F89" w:rsidRDefault="00FC1885" w:rsidP="001B5173">
      <w:pPr>
        <w:ind w:left="720" w:hanging="720"/>
        <w:jc w:val="both"/>
        <w:rPr>
          <w:rFonts w:ascii="Calibri" w:hAnsi="Calibri" w:cs="Calibri"/>
        </w:rPr>
      </w:pPr>
      <w:r>
        <w:rPr>
          <w:rFonts w:ascii="Calibri" w:hAnsi="Calibri" w:cs="Calibri"/>
        </w:rPr>
        <w:t>4.</w:t>
      </w:r>
      <w:r>
        <w:rPr>
          <w:rFonts w:ascii="Calibri" w:hAnsi="Calibri" w:cs="Calibri"/>
        </w:rPr>
        <w:tab/>
        <w:t xml:space="preserve">The cost of securing DB plan benefits on plan termination or winding up </w:t>
      </w:r>
      <w:r w:rsidR="005C1CC6">
        <w:rPr>
          <w:rFonts w:ascii="Calibri" w:hAnsi="Calibri" w:cs="Calibri"/>
        </w:rPr>
        <w:t xml:space="preserve">will also differ </w:t>
      </w:r>
      <w:r w:rsidR="001B5173">
        <w:rPr>
          <w:rFonts w:ascii="Calibri" w:hAnsi="Calibri" w:cs="Calibri"/>
        </w:rPr>
        <w:t>(</w:t>
      </w:r>
      <w:r w:rsidR="005C1CC6">
        <w:rPr>
          <w:rFonts w:ascii="Calibri" w:hAnsi="Calibri" w:cs="Calibri"/>
        </w:rPr>
        <w:t xml:space="preserve">absent serendipity) </w:t>
      </w:r>
      <w:r w:rsidR="00BB3191">
        <w:rPr>
          <w:rFonts w:ascii="Calibri" w:hAnsi="Calibri" w:cs="Calibri"/>
        </w:rPr>
        <w:t>from the accounting provision</w:t>
      </w:r>
      <w:r w:rsidR="001B5173">
        <w:rPr>
          <w:rFonts w:ascii="Calibri" w:hAnsi="Calibri" w:cs="Calibri"/>
        </w:rPr>
        <w:t xml:space="preserve"> or</w:t>
      </w:r>
      <w:r w:rsidR="00BB3191">
        <w:rPr>
          <w:rFonts w:ascii="Calibri" w:hAnsi="Calibri" w:cs="Calibri"/>
        </w:rPr>
        <w:t xml:space="preserve"> the funding </w:t>
      </w:r>
      <w:r w:rsidR="001B5173">
        <w:rPr>
          <w:rFonts w:ascii="Calibri" w:hAnsi="Calibri" w:cs="Calibri"/>
        </w:rPr>
        <w:t>provision for those benefits.</w:t>
      </w:r>
    </w:p>
    <w:p w14:paraId="40F17376" w14:textId="6F5F951D" w:rsidR="00580622" w:rsidRDefault="00D5179B" w:rsidP="000B6B3B">
      <w:pPr>
        <w:ind w:left="720" w:hanging="720"/>
        <w:jc w:val="both"/>
        <w:rPr>
          <w:rFonts w:ascii="Calibri" w:hAnsi="Calibri" w:cs="Calibri"/>
          <w:b/>
          <w:bCs/>
          <w:u w:val="single"/>
        </w:rPr>
      </w:pPr>
      <w:r w:rsidRPr="00D5179B">
        <w:rPr>
          <w:rFonts w:ascii="Calibri" w:hAnsi="Calibri" w:cs="Calibri"/>
          <w:b/>
          <w:bCs/>
        </w:rPr>
        <w:t>F.</w:t>
      </w:r>
      <w:r w:rsidRPr="00D5179B">
        <w:rPr>
          <w:rFonts w:ascii="Calibri" w:hAnsi="Calibri" w:cs="Calibri"/>
          <w:b/>
          <w:bCs/>
        </w:rPr>
        <w:tab/>
      </w:r>
      <w:r w:rsidR="00580622">
        <w:rPr>
          <w:rFonts w:ascii="Calibri" w:hAnsi="Calibri" w:cs="Calibri"/>
          <w:b/>
          <w:bCs/>
          <w:u w:val="single"/>
        </w:rPr>
        <w:t>Funding and security for members’ DB retirement benefits</w:t>
      </w:r>
    </w:p>
    <w:p w14:paraId="2D1B0CE1" w14:textId="0AFCD868" w:rsidR="00580622" w:rsidRDefault="00580622" w:rsidP="001D5A1A">
      <w:pPr>
        <w:ind w:left="720" w:hanging="720"/>
        <w:jc w:val="both"/>
        <w:rPr>
          <w:rFonts w:ascii="Calibri" w:hAnsi="Calibri" w:cs="Calibri"/>
        </w:rPr>
      </w:pPr>
      <w:r>
        <w:rPr>
          <w:rFonts w:ascii="Calibri" w:hAnsi="Calibri" w:cs="Calibri"/>
        </w:rPr>
        <w:t>1.</w:t>
      </w:r>
      <w:r>
        <w:rPr>
          <w:rFonts w:ascii="Calibri" w:hAnsi="Calibri" w:cs="Calibri"/>
        </w:rPr>
        <w:tab/>
      </w:r>
      <w:r w:rsidR="00737C11">
        <w:rPr>
          <w:rFonts w:ascii="Calibri" w:hAnsi="Calibri" w:cs="Calibri"/>
        </w:rPr>
        <w:t xml:space="preserve">There is a </w:t>
      </w:r>
      <w:r w:rsidR="00E34207">
        <w:rPr>
          <w:rFonts w:ascii="Calibri" w:hAnsi="Calibri" w:cs="Calibri"/>
        </w:rPr>
        <w:t>very difficult</w:t>
      </w:r>
      <w:r w:rsidR="00737C11">
        <w:rPr>
          <w:rFonts w:ascii="Calibri" w:hAnsi="Calibri" w:cs="Calibri"/>
        </w:rPr>
        <w:t xml:space="preserve"> judg</w:t>
      </w:r>
      <w:r w:rsidR="002210A3">
        <w:rPr>
          <w:rFonts w:ascii="Calibri" w:hAnsi="Calibri" w:cs="Calibri"/>
        </w:rPr>
        <w:t>ment</w:t>
      </w:r>
      <w:r w:rsidR="00737C11">
        <w:rPr>
          <w:rFonts w:ascii="Calibri" w:hAnsi="Calibri" w:cs="Calibri"/>
        </w:rPr>
        <w:t xml:space="preserve"> to be </w:t>
      </w:r>
      <w:r w:rsidR="00AF1BE3">
        <w:rPr>
          <w:rFonts w:ascii="Calibri" w:hAnsi="Calibri" w:cs="Calibri"/>
        </w:rPr>
        <w:t xml:space="preserve">made as to the balance </w:t>
      </w:r>
      <w:r w:rsidR="00643288">
        <w:rPr>
          <w:rFonts w:ascii="Calibri" w:hAnsi="Calibri" w:cs="Calibri"/>
        </w:rPr>
        <w:t xml:space="preserve">to be struck </w:t>
      </w:r>
      <w:r w:rsidR="00AF1BE3">
        <w:rPr>
          <w:rFonts w:ascii="Calibri" w:hAnsi="Calibri" w:cs="Calibri"/>
        </w:rPr>
        <w:t xml:space="preserve">between the following </w:t>
      </w:r>
      <w:r w:rsidR="00C8695B">
        <w:rPr>
          <w:rFonts w:ascii="Calibri" w:hAnsi="Calibri" w:cs="Calibri"/>
        </w:rPr>
        <w:t>aspirations</w:t>
      </w:r>
      <w:r w:rsidR="00643288">
        <w:rPr>
          <w:rFonts w:ascii="Calibri" w:hAnsi="Calibri" w:cs="Calibri"/>
        </w:rPr>
        <w:t>:</w:t>
      </w:r>
    </w:p>
    <w:p w14:paraId="07A9718A" w14:textId="2CA57E2D" w:rsidR="00643288" w:rsidRDefault="00643288" w:rsidP="001D5A1A">
      <w:pPr>
        <w:pStyle w:val="ListParagraph"/>
        <w:numPr>
          <w:ilvl w:val="0"/>
          <w:numId w:val="21"/>
        </w:numPr>
        <w:ind w:left="1080"/>
        <w:jc w:val="both"/>
        <w:rPr>
          <w:rFonts w:ascii="Calibri" w:hAnsi="Calibri" w:cs="Calibri"/>
        </w:rPr>
      </w:pPr>
      <w:r>
        <w:rPr>
          <w:rFonts w:ascii="Calibri" w:hAnsi="Calibri" w:cs="Calibri"/>
        </w:rPr>
        <w:t>the highest level of retirement benefit,</w:t>
      </w:r>
    </w:p>
    <w:p w14:paraId="139378D5" w14:textId="33A41661" w:rsidR="00643288" w:rsidRDefault="00643288" w:rsidP="001D5A1A">
      <w:pPr>
        <w:pStyle w:val="ListParagraph"/>
        <w:numPr>
          <w:ilvl w:val="0"/>
          <w:numId w:val="21"/>
        </w:numPr>
        <w:ind w:left="1080"/>
        <w:jc w:val="both"/>
        <w:rPr>
          <w:rFonts w:ascii="Calibri" w:hAnsi="Calibri" w:cs="Calibri"/>
        </w:rPr>
      </w:pPr>
      <w:r>
        <w:rPr>
          <w:rFonts w:ascii="Calibri" w:hAnsi="Calibri" w:cs="Calibri"/>
        </w:rPr>
        <w:t>for the lowest cost,</w:t>
      </w:r>
      <w:r w:rsidR="00A621E4">
        <w:rPr>
          <w:rFonts w:ascii="Calibri" w:hAnsi="Calibri" w:cs="Calibri"/>
        </w:rPr>
        <w:t xml:space="preserve"> with</w:t>
      </w:r>
    </w:p>
    <w:p w14:paraId="065C1216" w14:textId="183CDFDD" w:rsidR="00643288" w:rsidRPr="007B59F5" w:rsidRDefault="00A621E4" w:rsidP="007B59F5">
      <w:pPr>
        <w:pStyle w:val="ListParagraph"/>
        <w:numPr>
          <w:ilvl w:val="0"/>
          <w:numId w:val="21"/>
        </w:numPr>
        <w:ind w:left="1080"/>
        <w:jc w:val="both"/>
        <w:rPr>
          <w:rFonts w:ascii="Calibri" w:hAnsi="Calibri" w:cs="Calibri"/>
        </w:rPr>
      </w:pPr>
      <w:r>
        <w:rPr>
          <w:rFonts w:ascii="Calibri" w:hAnsi="Calibri" w:cs="Calibri"/>
        </w:rPr>
        <w:t>the highest level of certainty (</w:t>
      </w:r>
      <w:r w:rsidR="00102DC1">
        <w:rPr>
          <w:rFonts w:ascii="Calibri" w:hAnsi="Calibri" w:cs="Calibri"/>
        </w:rPr>
        <w:t>security)</w:t>
      </w:r>
      <w:r w:rsidR="007B59F5">
        <w:rPr>
          <w:rFonts w:ascii="Calibri" w:hAnsi="Calibri" w:cs="Calibri"/>
        </w:rPr>
        <w:t xml:space="preserve"> </w:t>
      </w:r>
      <w:r w:rsidR="00C219B8" w:rsidRPr="007B59F5">
        <w:rPr>
          <w:rFonts w:ascii="Calibri" w:hAnsi="Calibri" w:cs="Calibri"/>
        </w:rPr>
        <w:t xml:space="preserve">that </w:t>
      </w:r>
      <w:r w:rsidR="004C3730" w:rsidRPr="007B59F5">
        <w:rPr>
          <w:rFonts w:ascii="Calibri" w:hAnsi="Calibri" w:cs="Calibri"/>
        </w:rPr>
        <w:t>t</w:t>
      </w:r>
      <w:r w:rsidR="00356C73" w:rsidRPr="007B59F5">
        <w:rPr>
          <w:rFonts w:ascii="Calibri" w:hAnsi="Calibri" w:cs="Calibri"/>
        </w:rPr>
        <w:t>he retirement benefit obligations will be paid</w:t>
      </w:r>
      <w:r w:rsidR="007F0910" w:rsidRPr="007B59F5">
        <w:rPr>
          <w:rFonts w:ascii="Calibri" w:hAnsi="Calibri" w:cs="Calibri"/>
        </w:rPr>
        <w:t xml:space="preserve"> in full</w:t>
      </w:r>
      <w:r w:rsidR="007B59F5">
        <w:rPr>
          <w:rFonts w:ascii="Calibri" w:hAnsi="Calibri" w:cs="Calibri"/>
        </w:rPr>
        <w:t xml:space="preserve"> as and when they fall due to be paid.</w:t>
      </w:r>
    </w:p>
    <w:p w14:paraId="5862EE59" w14:textId="2D82A63A" w:rsidR="00643288" w:rsidRDefault="00C219B8" w:rsidP="001D5A1A">
      <w:pPr>
        <w:ind w:left="720" w:hanging="720"/>
        <w:jc w:val="both"/>
        <w:rPr>
          <w:rFonts w:ascii="Calibri" w:hAnsi="Calibri" w:cs="Calibri"/>
        </w:rPr>
      </w:pPr>
      <w:r>
        <w:rPr>
          <w:rFonts w:ascii="Calibri" w:hAnsi="Calibri" w:cs="Calibri"/>
        </w:rPr>
        <w:t>2.</w:t>
      </w:r>
      <w:r>
        <w:rPr>
          <w:rFonts w:ascii="Calibri" w:hAnsi="Calibri" w:cs="Calibri"/>
        </w:rPr>
        <w:tab/>
      </w:r>
      <w:r w:rsidR="00D768B7">
        <w:rPr>
          <w:rFonts w:ascii="Calibri" w:hAnsi="Calibri" w:cs="Calibri"/>
        </w:rPr>
        <w:t>Insofar</w:t>
      </w:r>
      <w:r w:rsidR="005E0B56">
        <w:rPr>
          <w:rFonts w:ascii="Calibri" w:hAnsi="Calibri" w:cs="Calibri"/>
        </w:rPr>
        <w:t xml:space="preserve"> as contributions are tax deductible, the tax payer has “skin in the game”.</w:t>
      </w:r>
      <w:r w:rsidR="00E26B60">
        <w:rPr>
          <w:rFonts w:ascii="Calibri" w:hAnsi="Calibri" w:cs="Calibri"/>
        </w:rPr>
        <w:t xml:space="preserve">  Equally, those </w:t>
      </w:r>
      <w:r w:rsidR="00595915">
        <w:rPr>
          <w:rFonts w:ascii="Calibri" w:hAnsi="Calibri" w:cs="Calibri"/>
        </w:rPr>
        <w:t>to whom the retirement benefit promise in the DB plan has been made, have a very keen interest in receiving payment of their retirement benefits in full.</w:t>
      </w:r>
    </w:p>
    <w:p w14:paraId="0E8CE097" w14:textId="144B8EB7" w:rsidR="00595915" w:rsidRDefault="00595915" w:rsidP="001D5A1A">
      <w:pPr>
        <w:ind w:left="720" w:hanging="720"/>
        <w:jc w:val="both"/>
        <w:rPr>
          <w:rFonts w:ascii="Calibri" w:hAnsi="Calibri" w:cs="Calibri"/>
        </w:rPr>
      </w:pPr>
      <w:r>
        <w:rPr>
          <w:rFonts w:ascii="Calibri" w:hAnsi="Calibri" w:cs="Calibri"/>
        </w:rPr>
        <w:t>3.</w:t>
      </w:r>
      <w:r>
        <w:rPr>
          <w:rFonts w:ascii="Calibri" w:hAnsi="Calibri" w:cs="Calibri"/>
        </w:rPr>
        <w:tab/>
        <w:t xml:space="preserve">Neither politicians </w:t>
      </w:r>
      <w:r w:rsidR="00215A34">
        <w:rPr>
          <w:rFonts w:ascii="Calibri" w:hAnsi="Calibri" w:cs="Calibri"/>
        </w:rPr>
        <w:t>n</w:t>
      </w:r>
      <w:r>
        <w:rPr>
          <w:rFonts w:ascii="Calibri" w:hAnsi="Calibri" w:cs="Calibri"/>
        </w:rPr>
        <w:t xml:space="preserve">or regulators wish to have to deal with </w:t>
      </w:r>
      <w:r w:rsidR="00D36239">
        <w:rPr>
          <w:rFonts w:ascii="Calibri" w:hAnsi="Calibri" w:cs="Calibri"/>
        </w:rPr>
        <w:t xml:space="preserve">situations where the </w:t>
      </w:r>
      <w:r w:rsidR="007425A2">
        <w:rPr>
          <w:rFonts w:ascii="Calibri" w:hAnsi="Calibri" w:cs="Calibri"/>
        </w:rPr>
        <w:t>DB retirement benefit obligations cannot be paid in full</w:t>
      </w:r>
      <w:r w:rsidR="008F45D7">
        <w:rPr>
          <w:rStyle w:val="FootnoteReference"/>
          <w:rFonts w:ascii="Calibri" w:hAnsi="Calibri" w:cs="Calibri"/>
        </w:rPr>
        <w:footnoteReference w:id="23"/>
      </w:r>
      <w:r w:rsidR="007425A2">
        <w:rPr>
          <w:rFonts w:ascii="Calibri" w:hAnsi="Calibri" w:cs="Calibri"/>
        </w:rPr>
        <w:t xml:space="preserve"> which leads, among other things, </w:t>
      </w:r>
      <w:r w:rsidR="00C97A3D">
        <w:rPr>
          <w:rFonts w:ascii="Calibri" w:hAnsi="Calibri" w:cs="Calibri"/>
        </w:rPr>
        <w:t>to</w:t>
      </w:r>
    </w:p>
    <w:p w14:paraId="0045ED50" w14:textId="2952FA4A" w:rsidR="007425A2" w:rsidRDefault="00A0540D" w:rsidP="001D5A1A">
      <w:pPr>
        <w:pStyle w:val="ListParagraph"/>
        <w:numPr>
          <w:ilvl w:val="0"/>
          <w:numId w:val="22"/>
        </w:numPr>
        <w:ind w:left="1080"/>
        <w:jc w:val="both"/>
        <w:rPr>
          <w:rFonts w:ascii="Calibri" w:hAnsi="Calibri" w:cs="Calibri"/>
        </w:rPr>
      </w:pPr>
      <w:r>
        <w:rPr>
          <w:rFonts w:ascii="Calibri" w:hAnsi="Calibri" w:cs="Calibri"/>
        </w:rPr>
        <w:t xml:space="preserve">regulation of the </w:t>
      </w:r>
      <w:r w:rsidR="007425A2">
        <w:rPr>
          <w:rFonts w:ascii="Calibri" w:hAnsi="Calibri" w:cs="Calibri"/>
        </w:rPr>
        <w:t xml:space="preserve">funding of DB pension plans through a requirement for annual or </w:t>
      </w:r>
      <w:r w:rsidR="00BB7115">
        <w:rPr>
          <w:rFonts w:ascii="Calibri" w:hAnsi="Calibri" w:cs="Calibri"/>
        </w:rPr>
        <w:t>tri-annual valuations to measure the “financial health” of the pension plan as at that measuring point</w:t>
      </w:r>
      <w:r w:rsidR="00A37533">
        <w:rPr>
          <w:rFonts w:ascii="Calibri" w:hAnsi="Calibri" w:cs="Calibri"/>
        </w:rPr>
        <w:t xml:space="preserve"> and deficit recovery contributions,</w:t>
      </w:r>
    </w:p>
    <w:p w14:paraId="7274946A" w14:textId="7F5B8910" w:rsidR="00BB7115" w:rsidRDefault="007B723B" w:rsidP="001D5A1A">
      <w:pPr>
        <w:pStyle w:val="ListParagraph"/>
        <w:numPr>
          <w:ilvl w:val="0"/>
          <w:numId w:val="22"/>
        </w:numPr>
        <w:ind w:left="1080"/>
        <w:jc w:val="both"/>
        <w:rPr>
          <w:rFonts w:ascii="Calibri" w:hAnsi="Calibri" w:cs="Calibri"/>
        </w:rPr>
      </w:pPr>
      <w:r>
        <w:rPr>
          <w:rFonts w:ascii="Calibri" w:hAnsi="Calibri" w:cs="Calibri"/>
        </w:rPr>
        <w:t>constraints on how the assets of the DB pension plan may be invested</w:t>
      </w:r>
      <w:r w:rsidR="00087B68">
        <w:rPr>
          <w:rFonts w:ascii="Calibri" w:hAnsi="Calibri" w:cs="Calibri"/>
        </w:rPr>
        <w:t>, and</w:t>
      </w:r>
    </w:p>
    <w:p w14:paraId="0054A6A8" w14:textId="0B37876C" w:rsidR="00087B68" w:rsidRDefault="00C97A3D" w:rsidP="001D5A1A">
      <w:pPr>
        <w:pStyle w:val="ListParagraph"/>
        <w:numPr>
          <w:ilvl w:val="0"/>
          <w:numId w:val="22"/>
        </w:numPr>
        <w:ind w:left="1080"/>
        <w:jc w:val="both"/>
        <w:rPr>
          <w:rFonts w:ascii="Calibri" w:hAnsi="Calibri" w:cs="Calibri"/>
        </w:rPr>
      </w:pPr>
      <w:r>
        <w:rPr>
          <w:rFonts w:ascii="Calibri" w:hAnsi="Calibri" w:cs="Calibri"/>
        </w:rPr>
        <w:t xml:space="preserve">passing the parcel to employers </w:t>
      </w:r>
      <w:r w:rsidR="00092666">
        <w:rPr>
          <w:rFonts w:ascii="Calibri" w:hAnsi="Calibri" w:cs="Calibri"/>
        </w:rPr>
        <w:t xml:space="preserve">in many jurisdictions to underwrite the </w:t>
      </w:r>
      <w:r w:rsidR="00A65835">
        <w:rPr>
          <w:rFonts w:ascii="Calibri" w:hAnsi="Calibri" w:cs="Calibri"/>
        </w:rPr>
        <w:t>obligations of the pension plan to pay the DB benefits if there are insufficient assets</w:t>
      </w:r>
      <w:r w:rsidR="00893468">
        <w:rPr>
          <w:rFonts w:ascii="Calibri" w:hAnsi="Calibri" w:cs="Calibri"/>
        </w:rPr>
        <w:t xml:space="preserve">, and </w:t>
      </w:r>
    </w:p>
    <w:p w14:paraId="7C1DBD1A" w14:textId="05CCB9AB" w:rsidR="00783CED" w:rsidRPr="00234486" w:rsidRDefault="00893468" w:rsidP="00783CED">
      <w:pPr>
        <w:pStyle w:val="ListParagraph"/>
        <w:numPr>
          <w:ilvl w:val="0"/>
          <w:numId w:val="22"/>
        </w:numPr>
        <w:ind w:left="1080"/>
        <w:jc w:val="both"/>
        <w:rPr>
          <w:rFonts w:ascii="Calibri" w:hAnsi="Calibri" w:cs="Calibri"/>
        </w:rPr>
      </w:pPr>
      <w:r>
        <w:rPr>
          <w:rFonts w:ascii="Calibri" w:hAnsi="Calibri" w:cs="Calibri"/>
        </w:rPr>
        <w:t xml:space="preserve">regulators regulating, where they have power or influence to do so, funding to </w:t>
      </w:r>
      <w:r w:rsidR="00AA0343">
        <w:rPr>
          <w:rFonts w:ascii="Calibri" w:hAnsi="Calibri" w:cs="Calibri"/>
        </w:rPr>
        <w:t>protect themselves rather than to promote the provision of DB retirement benefits.</w:t>
      </w:r>
    </w:p>
    <w:p w14:paraId="5A613D67" w14:textId="5DBAB769" w:rsidR="00643288" w:rsidRPr="007B723B" w:rsidRDefault="007B723B" w:rsidP="001D5A1A">
      <w:pPr>
        <w:ind w:left="720" w:hanging="720"/>
        <w:jc w:val="both"/>
        <w:rPr>
          <w:rFonts w:ascii="Calibri" w:hAnsi="Calibri" w:cs="Calibri"/>
          <w:b/>
          <w:bCs/>
          <w:u w:val="single"/>
        </w:rPr>
      </w:pPr>
      <w:r w:rsidRPr="007B723B">
        <w:rPr>
          <w:rFonts w:ascii="Calibri" w:hAnsi="Calibri" w:cs="Calibri"/>
          <w:b/>
          <w:bCs/>
        </w:rPr>
        <w:t>G.</w:t>
      </w:r>
      <w:r w:rsidRPr="007B723B">
        <w:rPr>
          <w:rFonts w:ascii="Calibri" w:hAnsi="Calibri" w:cs="Calibri"/>
          <w:b/>
          <w:bCs/>
        </w:rPr>
        <w:tab/>
      </w:r>
      <w:r w:rsidRPr="007B723B">
        <w:rPr>
          <w:rFonts w:ascii="Calibri" w:hAnsi="Calibri" w:cs="Calibri"/>
          <w:b/>
          <w:bCs/>
          <w:u w:val="single"/>
        </w:rPr>
        <w:t>The investment of DB plan assets</w:t>
      </w:r>
    </w:p>
    <w:p w14:paraId="2EF3E7DD" w14:textId="5B31B781" w:rsidR="007B723B" w:rsidRDefault="007B723B" w:rsidP="001D5A1A">
      <w:pPr>
        <w:ind w:left="720" w:hanging="720"/>
        <w:jc w:val="both"/>
        <w:rPr>
          <w:rFonts w:ascii="Calibri" w:hAnsi="Calibri" w:cs="Calibri"/>
        </w:rPr>
      </w:pPr>
      <w:r>
        <w:rPr>
          <w:rFonts w:ascii="Calibri" w:hAnsi="Calibri" w:cs="Calibri"/>
        </w:rPr>
        <w:lastRenderedPageBreak/>
        <w:t>1.</w:t>
      </w:r>
      <w:r>
        <w:rPr>
          <w:rFonts w:ascii="Calibri" w:hAnsi="Calibri" w:cs="Calibri"/>
        </w:rPr>
        <w:tab/>
        <w:t>There is a</w:t>
      </w:r>
      <w:r w:rsidR="006B2E8E">
        <w:rPr>
          <w:rFonts w:ascii="Calibri" w:hAnsi="Calibri" w:cs="Calibri"/>
        </w:rPr>
        <w:t xml:space="preserve"> tension in both the regulatory rules on funding DB pension plans and the accounting rules between:</w:t>
      </w:r>
    </w:p>
    <w:p w14:paraId="01E92D52" w14:textId="6E6554A4" w:rsidR="006B2E8E" w:rsidRDefault="006B2E8E" w:rsidP="001D5A1A">
      <w:pPr>
        <w:pStyle w:val="ListParagraph"/>
        <w:numPr>
          <w:ilvl w:val="0"/>
          <w:numId w:val="23"/>
        </w:numPr>
        <w:ind w:left="1080"/>
        <w:jc w:val="both"/>
        <w:rPr>
          <w:rFonts w:ascii="Calibri" w:hAnsi="Calibri" w:cs="Calibri"/>
        </w:rPr>
      </w:pPr>
      <w:r>
        <w:rPr>
          <w:rFonts w:ascii="Calibri" w:hAnsi="Calibri" w:cs="Calibri"/>
        </w:rPr>
        <w:t xml:space="preserve">avoiding having a deficit </w:t>
      </w:r>
      <w:r w:rsidR="00CA4AB0">
        <w:rPr>
          <w:rFonts w:ascii="Calibri" w:hAnsi="Calibri" w:cs="Calibri"/>
        </w:rPr>
        <w:t xml:space="preserve">at any </w:t>
      </w:r>
      <w:r w:rsidR="00871E80">
        <w:rPr>
          <w:rFonts w:ascii="Calibri" w:hAnsi="Calibri" w:cs="Calibri"/>
        </w:rPr>
        <w:t xml:space="preserve">periodic valuation or </w:t>
      </w:r>
      <w:r w:rsidR="00CA4AB0">
        <w:rPr>
          <w:rFonts w:ascii="Calibri" w:hAnsi="Calibri" w:cs="Calibri"/>
        </w:rPr>
        <w:t>measuring point (</w:t>
      </w:r>
      <w:r w:rsidR="00871E80">
        <w:rPr>
          <w:rFonts w:ascii="Calibri" w:hAnsi="Calibri" w:cs="Calibri"/>
        </w:rPr>
        <w:t xml:space="preserve">or </w:t>
      </w:r>
      <w:r w:rsidR="00CA4AB0">
        <w:rPr>
          <w:rFonts w:ascii="Calibri" w:hAnsi="Calibri" w:cs="Calibri"/>
        </w:rPr>
        <w:t>w</w:t>
      </w:r>
      <w:r w:rsidR="00CC0A10">
        <w:rPr>
          <w:rFonts w:ascii="Calibri" w:hAnsi="Calibri" w:cs="Calibri"/>
        </w:rPr>
        <w:t>here</w:t>
      </w:r>
      <w:r w:rsidR="00CA4AB0">
        <w:rPr>
          <w:rFonts w:ascii="Calibri" w:hAnsi="Calibri" w:cs="Calibri"/>
        </w:rPr>
        <w:t xml:space="preserve"> the </w:t>
      </w:r>
      <w:r w:rsidR="00CC0A10">
        <w:rPr>
          <w:rFonts w:ascii="Calibri" w:hAnsi="Calibri" w:cs="Calibri"/>
        </w:rPr>
        <w:t>DB pension plan has to be wound up), and</w:t>
      </w:r>
    </w:p>
    <w:p w14:paraId="66199A07" w14:textId="53964789" w:rsidR="00CC0A10" w:rsidRDefault="00CC0A10" w:rsidP="001D5A1A">
      <w:pPr>
        <w:pStyle w:val="ListParagraph"/>
        <w:numPr>
          <w:ilvl w:val="0"/>
          <w:numId w:val="23"/>
        </w:numPr>
        <w:ind w:left="1080"/>
        <w:jc w:val="both"/>
        <w:rPr>
          <w:rFonts w:ascii="Calibri" w:hAnsi="Calibri" w:cs="Calibri"/>
        </w:rPr>
      </w:pPr>
      <w:r>
        <w:rPr>
          <w:rFonts w:ascii="Calibri" w:hAnsi="Calibri" w:cs="Calibri"/>
        </w:rPr>
        <w:t xml:space="preserve">the </w:t>
      </w:r>
      <w:r w:rsidR="00847BC3">
        <w:rPr>
          <w:rFonts w:ascii="Calibri" w:hAnsi="Calibri" w:cs="Calibri"/>
        </w:rPr>
        <w:t xml:space="preserve">DB pension plan assets being invested </w:t>
      </w:r>
      <w:r w:rsidR="009E1B6E">
        <w:rPr>
          <w:rFonts w:ascii="Calibri" w:hAnsi="Calibri" w:cs="Calibri"/>
        </w:rPr>
        <w:t xml:space="preserve">with time horizons </w:t>
      </w:r>
      <w:r w:rsidR="00892E06">
        <w:rPr>
          <w:rFonts w:ascii="Calibri" w:hAnsi="Calibri" w:cs="Calibri"/>
        </w:rPr>
        <w:t xml:space="preserve">which </w:t>
      </w:r>
      <w:r w:rsidR="009E1B6E">
        <w:rPr>
          <w:rFonts w:ascii="Calibri" w:hAnsi="Calibri" w:cs="Calibri"/>
        </w:rPr>
        <w:t>reflect the time horizons of the retirement benefit obligations</w:t>
      </w:r>
      <w:r w:rsidR="00B65DD8">
        <w:rPr>
          <w:rFonts w:ascii="Calibri" w:hAnsi="Calibri" w:cs="Calibri"/>
        </w:rPr>
        <w:t xml:space="preserve"> (and pension plans being seen as long term investors of “patient capital”</w:t>
      </w:r>
      <w:r w:rsidR="00892E06">
        <w:rPr>
          <w:rFonts w:ascii="Calibri" w:hAnsi="Calibri" w:cs="Calibri"/>
        </w:rPr>
        <w:t xml:space="preserve"> with the opportunity to earn superior risk adjusted investment returns by harvesting </w:t>
      </w:r>
      <w:r w:rsidR="00F81CAA">
        <w:rPr>
          <w:rFonts w:ascii="Calibri" w:hAnsi="Calibri" w:cs="Calibri"/>
        </w:rPr>
        <w:t>an “illiquidity premium”.</w:t>
      </w:r>
    </w:p>
    <w:p w14:paraId="4D82ABFC" w14:textId="77777777" w:rsidR="00852DC9" w:rsidRDefault="00B65DD8" w:rsidP="001D5A1A">
      <w:pPr>
        <w:ind w:left="720" w:hanging="720"/>
        <w:jc w:val="both"/>
        <w:rPr>
          <w:rFonts w:ascii="Calibri" w:hAnsi="Calibri" w:cs="Calibri"/>
        </w:rPr>
      </w:pPr>
      <w:r>
        <w:rPr>
          <w:rFonts w:ascii="Calibri" w:hAnsi="Calibri" w:cs="Calibri"/>
        </w:rPr>
        <w:t>2.</w:t>
      </w:r>
      <w:r>
        <w:rPr>
          <w:rFonts w:ascii="Calibri" w:hAnsi="Calibri" w:cs="Calibri"/>
        </w:rPr>
        <w:tab/>
        <w:t>Furthermore, the</w:t>
      </w:r>
      <w:r w:rsidR="00A202D0">
        <w:rPr>
          <w:rFonts w:ascii="Calibri" w:hAnsi="Calibri" w:cs="Calibri"/>
        </w:rPr>
        <w:t>re is an inher</w:t>
      </w:r>
      <w:r w:rsidR="00C2751C">
        <w:rPr>
          <w:rFonts w:ascii="Calibri" w:hAnsi="Calibri" w:cs="Calibri"/>
        </w:rPr>
        <w:t xml:space="preserve">ent tension </w:t>
      </w:r>
      <w:r w:rsidR="009F6375">
        <w:rPr>
          <w:rFonts w:ascii="Calibri" w:hAnsi="Calibri" w:cs="Calibri"/>
        </w:rPr>
        <w:t xml:space="preserve">between the way, as at each balance sheet date every year, </w:t>
      </w:r>
      <w:r w:rsidR="00277317">
        <w:rPr>
          <w:rFonts w:ascii="Calibri" w:hAnsi="Calibri" w:cs="Calibri"/>
        </w:rPr>
        <w:t xml:space="preserve">the </w:t>
      </w:r>
      <w:r w:rsidR="00852DC9">
        <w:rPr>
          <w:rFonts w:ascii="Calibri" w:hAnsi="Calibri" w:cs="Calibri"/>
        </w:rPr>
        <w:t>accounting surplus or accounting deficit in the pension plan affects the balance sheet of the sponsoring employer.</w:t>
      </w:r>
    </w:p>
    <w:p w14:paraId="2E834444" w14:textId="59AB5032" w:rsidR="00C65A4A" w:rsidRDefault="00A26E37" w:rsidP="00783CED">
      <w:pPr>
        <w:ind w:left="720" w:hanging="720"/>
        <w:jc w:val="both"/>
        <w:rPr>
          <w:rFonts w:ascii="Calibri" w:hAnsi="Calibri" w:cs="Calibri"/>
        </w:rPr>
      </w:pPr>
      <w:r>
        <w:rPr>
          <w:rFonts w:ascii="Calibri" w:hAnsi="Calibri" w:cs="Calibri"/>
        </w:rPr>
        <w:t>3.</w:t>
      </w:r>
      <w:r>
        <w:rPr>
          <w:rFonts w:ascii="Calibri" w:hAnsi="Calibri" w:cs="Calibri"/>
        </w:rPr>
        <w:tab/>
        <w:t>This leads</w:t>
      </w:r>
      <w:r w:rsidR="00AB0460">
        <w:rPr>
          <w:rFonts w:ascii="Calibri" w:hAnsi="Calibri" w:cs="Calibri"/>
        </w:rPr>
        <w:t>, or can lead to, investment strategies that seek to achieve an investment return (</w:t>
      </w:r>
      <w:r w:rsidR="00C3421C">
        <w:rPr>
          <w:rFonts w:ascii="Calibri" w:hAnsi="Calibri" w:cs="Calibri"/>
        </w:rPr>
        <w:t>and asset valuation as at a valuation date) which is in alignment with the way the discount rate is calculated</w:t>
      </w:r>
      <w:r w:rsidR="00C65A4A">
        <w:rPr>
          <w:rFonts w:ascii="Calibri" w:hAnsi="Calibri" w:cs="Calibri"/>
        </w:rPr>
        <w:t xml:space="preserve">. </w:t>
      </w:r>
    </w:p>
    <w:p w14:paraId="6430929F" w14:textId="2263463A" w:rsidR="0076115A" w:rsidRPr="000A6E9F" w:rsidRDefault="001274E2" w:rsidP="0076115A">
      <w:pPr>
        <w:spacing w:after="0" w:line="240" w:lineRule="auto"/>
        <w:rPr>
          <w:rFonts w:ascii="Calibri" w:eastAsia="Times New Roman" w:hAnsi="Calibri" w:cs="Calibri"/>
          <w:b/>
          <w:bCs/>
          <w:color w:val="000000"/>
        </w:rPr>
      </w:pPr>
      <w:bookmarkStart w:id="2" w:name="_Hlk164771898"/>
      <w:r>
        <w:rPr>
          <w:rFonts w:ascii="Calibri" w:eastAsia="Times New Roman" w:hAnsi="Calibri" w:cs="Calibri"/>
          <w:b/>
          <w:bCs/>
          <w:color w:val="000000"/>
        </w:rPr>
        <w:t>H</w:t>
      </w:r>
      <w:r w:rsidR="0076115A" w:rsidRPr="000A6E9F">
        <w:rPr>
          <w:rFonts w:ascii="Calibri" w:eastAsia="Times New Roman" w:hAnsi="Calibri" w:cs="Calibri"/>
          <w:b/>
          <w:bCs/>
          <w:color w:val="000000"/>
        </w:rPr>
        <w:t>.</w:t>
      </w:r>
      <w:r>
        <w:rPr>
          <w:rFonts w:ascii="Calibri" w:eastAsia="Times New Roman" w:hAnsi="Calibri" w:cs="Calibri"/>
          <w:b/>
          <w:bCs/>
          <w:color w:val="000000"/>
        </w:rPr>
        <w:tab/>
      </w:r>
      <w:r w:rsidR="0076115A" w:rsidRPr="001274E2">
        <w:rPr>
          <w:rFonts w:ascii="Calibri" w:eastAsia="Times New Roman" w:hAnsi="Calibri" w:cs="Calibri"/>
          <w:b/>
          <w:bCs/>
          <w:color w:val="000000"/>
          <w:u w:val="single"/>
        </w:rPr>
        <w:t>Investment of the plan assets</w:t>
      </w:r>
    </w:p>
    <w:p w14:paraId="3675C384" w14:textId="77777777" w:rsidR="0076115A" w:rsidRPr="000A6E9F" w:rsidRDefault="0076115A" w:rsidP="0076115A">
      <w:pPr>
        <w:spacing w:after="0" w:line="240" w:lineRule="auto"/>
        <w:rPr>
          <w:rFonts w:ascii="Calibri" w:eastAsia="Times New Roman" w:hAnsi="Calibri" w:cs="Calibri"/>
          <w:color w:val="000000"/>
        </w:rPr>
      </w:pPr>
    </w:p>
    <w:p w14:paraId="5EDA6C0E" w14:textId="470AAAE3" w:rsidR="0076115A" w:rsidRPr="001274E2" w:rsidRDefault="001274E2" w:rsidP="001D5A1A">
      <w:pPr>
        <w:spacing w:after="0" w:line="240" w:lineRule="auto"/>
        <w:ind w:left="720" w:hanging="720"/>
        <w:jc w:val="both"/>
        <w:rPr>
          <w:rFonts w:ascii="Calibri" w:eastAsia="Times New Roman" w:hAnsi="Calibri" w:cs="Calibri"/>
          <w:color w:val="000000"/>
        </w:rPr>
      </w:pPr>
      <w:r>
        <w:rPr>
          <w:rFonts w:ascii="Calibri" w:eastAsia="Times New Roman" w:hAnsi="Calibri" w:cs="Calibri"/>
          <w:color w:val="000000"/>
        </w:rPr>
        <w:t>1.</w:t>
      </w:r>
      <w:r>
        <w:rPr>
          <w:rFonts w:ascii="Calibri" w:eastAsia="Times New Roman" w:hAnsi="Calibri" w:cs="Calibri"/>
          <w:color w:val="000000"/>
        </w:rPr>
        <w:tab/>
      </w:r>
      <w:r w:rsidR="0076115A" w:rsidRPr="001274E2">
        <w:rPr>
          <w:rFonts w:ascii="Calibri" w:eastAsia="Times New Roman" w:hAnsi="Calibri" w:cs="Calibri"/>
          <w:color w:val="000000"/>
        </w:rPr>
        <w:t>The prudent person rule applies as the qualitative standard for investing plan assets in Belgium</w:t>
      </w:r>
      <w:r w:rsidR="004B0A1A">
        <w:rPr>
          <w:rFonts w:ascii="Calibri" w:eastAsia="Times New Roman" w:hAnsi="Calibri" w:cs="Calibri"/>
          <w:color w:val="000000"/>
        </w:rPr>
        <w:t>, Franc</w:t>
      </w:r>
      <w:r w:rsidR="00DD587C">
        <w:rPr>
          <w:rFonts w:ascii="Calibri" w:eastAsia="Times New Roman" w:hAnsi="Calibri" w:cs="Calibri"/>
          <w:color w:val="000000"/>
        </w:rPr>
        <w:t xml:space="preserve">e </w:t>
      </w:r>
      <w:r w:rsidR="0076115A" w:rsidRPr="001274E2">
        <w:rPr>
          <w:rFonts w:ascii="Calibri" w:eastAsia="Times New Roman" w:hAnsi="Calibri" w:cs="Calibri"/>
          <w:color w:val="000000"/>
        </w:rPr>
        <w:t>and the UK (see Article 19 of the IORP II Directive as transposed into member state/UK law). There are some additional elements of specificity also to be found in Article 19 including restrictions on borrowing and the purposes for which derivatives can be used.</w:t>
      </w:r>
    </w:p>
    <w:p w14:paraId="4173ED2B" w14:textId="77777777" w:rsidR="0076115A" w:rsidRDefault="0076115A" w:rsidP="0076115A">
      <w:pPr>
        <w:spacing w:after="0" w:line="240" w:lineRule="auto"/>
        <w:rPr>
          <w:rFonts w:ascii="Calibri" w:eastAsia="Times New Roman" w:hAnsi="Calibri" w:cs="Calibri"/>
          <w:color w:val="000000"/>
        </w:rPr>
      </w:pPr>
    </w:p>
    <w:p w14:paraId="2C8FE3E8" w14:textId="7894E2E1" w:rsidR="0076115A" w:rsidRPr="000A6E9F" w:rsidRDefault="001274E2" w:rsidP="00F50C97">
      <w:pPr>
        <w:spacing w:after="120" w:line="240" w:lineRule="auto"/>
        <w:ind w:left="720" w:hanging="720"/>
        <w:rPr>
          <w:rFonts w:ascii="Calibri" w:eastAsia="Times New Roman" w:hAnsi="Calibri" w:cs="Calibri"/>
          <w:color w:val="000000"/>
        </w:rPr>
      </w:pPr>
      <w:r>
        <w:rPr>
          <w:rFonts w:ascii="Arial" w:hAnsi="Arial" w:cs="Arial"/>
          <w:sz w:val="20"/>
          <w:szCs w:val="20"/>
          <w:lang w:val="en-US"/>
        </w:rPr>
        <w:t>2.</w:t>
      </w:r>
      <w:r>
        <w:rPr>
          <w:rFonts w:ascii="Arial" w:hAnsi="Arial" w:cs="Arial"/>
          <w:sz w:val="20"/>
          <w:szCs w:val="20"/>
          <w:lang w:val="en-US"/>
        </w:rPr>
        <w:tab/>
      </w:r>
      <w:bookmarkEnd w:id="2"/>
      <w:r w:rsidR="0076115A" w:rsidRPr="000A6E9F">
        <w:rPr>
          <w:rFonts w:ascii="Calibri" w:eastAsia="Times New Roman" w:hAnsi="Calibri" w:cs="Calibri"/>
          <w:color w:val="000000"/>
        </w:rPr>
        <w:t>One of the requirements of Article 19 is that:</w:t>
      </w:r>
    </w:p>
    <w:p w14:paraId="27270DB4" w14:textId="77777777" w:rsidR="0076115A" w:rsidRPr="00F50C97" w:rsidRDefault="0076115A" w:rsidP="001D5A1A">
      <w:pPr>
        <w:spacing w:after="0" w:line="240" w:lineRule="auto"/>
        <w:ind w:left="1134"/>
        <w:jc w:val="both"/>
        <w:rPr>
          <w:rFonts w:ascii="Calibri" w:eastAsia="Times New Roman" w:hAnsi="Calibri" w:cs="Calibri"/>
          <w:color w:val="000000"/>
          <w:sz w:val="20"/>
          <w:szCs w:val="20"/>
        </w:rPr>
      </w:pPr>
      <w:r w:rsidRPr="00F50C97">
        <w:rPr>
          <w:rFonts w:ascii="Calibri" w:eastAsia="Times New Roman" w:hAnsi="Calibri" w:cs="Calibri"/>
          <w:color w:val="000000"/>
          <w:sz w:val="20"/>
          <w:szCs w:val="20"/>
        </w:rPr>
        <w:t>“</w:t>
      </w:r>
      <w:r w:rsidRPr="00F50C97">
        <w:rPr>
          <w:rFonts w:ascii="Calibri" w:eastAsia="Times New Roman" w:hAnsi="Calibri" w:cs="Calibri"/>
          <w:color w:val="000000"/>
          <w:sz w:val="20"/>
          <w:szCs w:val="20"/>
          <w:shd w:val="clear" w:color="auto" w:fill="FFFFFF"/>
        </w:rPr>
        <w:t> </w:t>
      </w:r>
      <w:r w:rsidRPr="00F50C97">
        <w:rPr>
          <w:rFonts w:ascii="Calibri" w:eastAsia="Times New Roman" w:hAnsi="Calibri" w:cs="Calibri"/>
          <w:i/>
          <w:iCs/>
          <w:color w:val="000000"/>
          <w:sz w:val="20"/>
          <w:szCs w:val="20"/>
          <w:shd w:val="clear" w:color="auto" w:fill="FFFFFF"/>
        </w:rPr>
        <w:t>the assets shall be invested in the best long-term interests of members and beneficiaries as a whole. In the case of a potential conflict of interest, an IORP, or the entity which manages its portfolio, shall ensure that the investment is made in the sole interest of members and beneficiaries;</w:t>
      </w:r>
      <w:r w:rsidRPr="00F50C97">
        <w:rPr>
          <w:rFonts w:ascii="Calibri" w:eastAsia="Times New Roman" w:hAnsi="Calibri" w:cs="Calibri"/>
          <w:color w:val="000000"/>
          <w:sz w:val="20"/>
          <w:szCs w:val="20"/>
          <w:shd w:val="clear" w:color="auto" w:fill="FFFFFF"/>
        </w:rPr>
        <w:t>”</w:t>
      </w:r>
    </w:p>
    <w:p w14:paraId="204584BD" w14:textId="77777777" w:rsidR="0076115A" w:rsidRPr="00F50C97" w:rsidRDefault="0076115A" w:rsidP="00F50C97">
      <w:pPr>
        <w:spacing w:after="0" w:line="240" w:lineRule="auto"/>
        <w:ind w:left="1440"/>
        <w:rPr>
          <w:rFonts w:ascii="Calibri" w:eastAsia="Times New Roman" w:hAnsi="Calibri" w:cs="Calibri"/>
          <w:color w:val="000000"/>
          <w:sz w:val="20"/>
          <w:szCs w:val="20"/>
        </w:rPr>
      </w:pPr>
    </w:p>
    <w:p w14:paraId="2602120A" w14:textId="3E415213" w:rsidR="0076115A" w:rsidRPr="000A6E9F" w:rsidRDefault="0076115A" w:rsidP="001D5A1A">
      <w:pPr>
        <w:spacing w:after="12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3.</w:t>
      </w:r>
      <w:r w:rsidR="00F50C97">
        <w:rPr>
          <w:rFonts w:ascii="Calibri" w:eastAsia="Times New Roman" w:hAnsi="Calibri" w:cs="Calibri"/>
          <w:color w:val="000000"/>
        </w:rPr>
        <w:tab/>
      </w:r>
      <w:r w:rsidRPr="000A6E9F">
        <w:rPr>
          <w:rFonts w:ascii="Calibri" w:eastAsia="Times New Roman" w:hAnsi="Calibri" w:cs="Calibri"/>
          <w:color w:val="000000"/>
        </w:rPr>
        <w:t>In the US the prudent person rule also applies and is specified in the Employment Retirement Income Security Act 1974 as amended (“</w:t>
      </w:r>
      <w:r w:rsidRPr="000A6E9F">
        <w:rPr>
          <w:rFonts w:ascii="Calibri" w:eastAsia="Times New Roman" w:hAnsi="Calibri" w:cs="Calibri"/>
          <w:b/>
          <w:bCs/>
          <w:color w:val="000000"/>
        </w:rPr>
        <w:t>ERISA</w:t>
      </w:r>
      <w:r w:rsidRPr="000A6E9F">
        <w:rPr>
          <w:rFonts w:ascii="Calibri" w:eastAsia="Times New Roman" w:hAnsi="Calibri" w:cs="Calibri"/>
          <w:color w:val="000000"/>
        </w:rPr>
        <w:t>”) , Section 404(a):</w:t>
      </w:r>
    </w:p>
    <w:p w14:paraId="387AD922" w14:textId="0F7D2A41" w:rsidR="0076115A" w:rsidRPr="00F50C97" w:rsidRDefault="0076115A" w:rsidP="001D5A1A">
      <w:pPr>
        <w:spacing w:after="120" w:line="240" w:lineRule="auto"/>
        <w:ind w:left="1134"/>
        <w:jc w:val="both"/>
        <w:rPr>
          <w:rFonts w:ascii="Calibri" w:eastAsia="Times New Roman" w:hAnsi="Calibri" w:cs="Calibri"/>
          <w:i/>
          <w:iCs/>
          <w:color w:val="000000"/>
          <w:sz w:val="20"/>
          <w:szCs w:val="20"/>
        </w:rPr>
      </w:pPr>
      <w:r w:rsidRPr="00F50C97">
        <w:rPr>
          <w:rFonts w:ascii="Calibri" w:eastAsia="Times New Roman" w:hAnsi="Calibri" w:cs="Calibri"/>
          <w:color w:val="000000"/>
          <w:sz w:val="20"/>
          <w:szCs w:val="20"/>
        </w:rPr>
        <w:t>“</w:t>
      </w:r>
      <w:r w:rsidRPr="00F50C97">
        <w:rPr>
          <w:rFonts w:ascii="Calibri" w:eastAsia="Times New Roman" w:hAnsi="Calibri" w:cs="Calibri"/>
          <w:color w:val="333333"/>
          <w:sz w:val="20"/>
          <w:szCs w:val="20"/>
        </w:rPr>
        <w:t> </w:t>
      </w:r>
      <w:r w:rsidRPr="00F50C97">
        <w:rPr>
          <w:rFonts w:ascii="Calibri" w:eastAsia="Times New Roman" w:hAnsi="Calibri" w:cs="Calibri"/>
          <w:i/>
          <w:iCs/>
          <w:color w:val="333333"/>
          <w:sz w:val="20"/>
          <w:szCs w:val="20"/>
        </w:rPr>
        <w:t>(a)</w:t>
      </w:r>
      <w:r w:rsidR="00946979">
        <w:rPr>
          <w:rFonts w:ascii="Calibri" w:eastAsia="Times New Roman" w:hAnsi="Calibri" w:cs="Calibri"/>
          <w:i/>
          <w:iCs/>
          <w:color w:val="333333"/>
          <w:sz w:val="20"/>
          <w:szCs w:val="20"/>
        </w:rPr>
        <w:t xml:space="preserve"> </w:t>
      </w:r>
      <w:r w:rsidRPr="00F50C97">
        <w:rPr>
          <w:rFonts w:ascii="Calibri" w:eastAsia="Times New Roman" w:hAnsi="Calibri" w:cs="Calibri"/>
          <w:i/>
          <w:iCs/>
          <w:color w:val="333333"/>
          <w:sz w:val="20"/>
          <w:szCs w:val="20"/>
        </w:rPr>
        <w:t>Prudent man standard of care</w:t>
      </w:r>
    </w:p>
    <w:p w14:paraId="5BE8BC79" w14:textId="15A547B5" w:rsidR="0076115A" w:rsidRDefault="0076115A" w:rsidP="001D5A1A">
      <w:pPr>
        <w:spacing w:after="120" w:line="240" w:lineRule="auto"/>
        <w:ind w:left="1985" w:hanging="545"/>
        <w:jc w:val="both"/>
        <w:rPr>
          <w:rFonts w:ascii="Calibri" w:eastAsia="Times New Roman" w:hAnsi="Calibri" w:cs="Calibri"/>
          <w:i/>
          <w:iCs/>
          <w:color w:val="333333"/>
          <w:sz w:val="20"/>
          <w:szCs w:val="20"/>
        </w:rPr>
      </w:pPr>
      <w:bookmarkStart w:id="3" w:name="a_1"/>
      <w:bookmarkEnd w:id="3"/>
      <w:r w:rsidRPr="00F50C97">
        <w:rPr>
          <w:rFonts w:ascii="Calibri" w:eastAsia="Times New Roman" w:hAnsi="Calibri" w:cs="Calibri"/>
          <w:i/>
          <w:iCs/>
          <w:color w:val="333333"/>
          <w:sz w:val="20"/>
          <w:szCs w:val="20"/>
        </w:rPr>
        <w:t>(1)</w:t>
      </w:r>
      <w:r w:rsidR="00A336EE">
        <w:rPr>
          <w:rFonts w:ascii="Calibri" w:eastAsia="Times New Roman" w:hAnsi="Calibri" w:cs="Calibri"/>
          <w:i/>
          <w:iCs/>
          <w:color w:val="333333"/>
          <w:sz w:val="20"/>
          <w:szCs w:val="20"/>
        </w:rPr>
        <w:tab/>
      </w:r>
      <w:r w:rsidRPr="00F50C97">
        <w:rPr>
          <w:rFonts w:ascii="Calibri" w:eastAsia="Times New Roman" w:hAnsi="Calibri" w:cs="Calibri"/>
          <w:i/>
          <w:iCs/>
          <w:color w:val="333333"/>
          <w:sz w:val="20"/>
          <w:szCs w:val="20"/>
        </w:rPr>
        <w:t>Subject to sections 1103(c) and (d), 1342, and 1344 of this title, a fiduciary shall discharge his duties with respect to a </w:t>
      </w:r>
      <w:hyperlink r:id="rId9" w:history="1">
        <w:r w:rsidRPr="00F50C97">
          <w:rPr>
            <w:rFonts w:ascii="Calibri" w:eastAsia="Times New Roman" w:hAnsi="Calibri" w:cs="Calibri"/>
            <w:i/>
            <w:iCs/>
            <w:color w:val="001C72"/>
            <w:sz w:val="20"/>
            <w:szCs w:val="20"/>
          </w:rPr>
          <w:t>plan</w:t>
        </w:r>
      </w:hyperlink>
      <w:r w:rsidRPr="00F50C97">
        <w:rPr>
          <w:rFonts w:ascii="Calibri" w:eastAsia="Times New Roman" w:hAnsi="Calibri" w:cs="Calibri"/>
          <w:i/>
          <w:iCs/>
          <w:color w:val="333333"/>
          <w:sz w:val="20"/>
          <w:szCs w:val="20"/>
        </w:rPr>
        <w:t> solely in the interest of the </w:t>
      </w:r>
      <w:hyperlink r:id="rId10" w:history="1">
        <w:r w:rsidRPr="00F50C97">
          <w:rPr>
            <w:rFonts w:ascii="Calibri" w:eastAsia="Times New Roman" w:hAnsi="Calibri" w:cs="Calibri"/>
            <w:i/>
            <w:iCs/>
            <w:color w:val="001C72"/>
            <w:sz w:val="20"/>
            <w:szCs w:val="20"/>
          </w:rPr>
          <w:t>participants</w:t>
        </w:r>
      </w:hyperlink>
      <w:r w:rsidRPr="00F50C97">
        <w:rPr>
          <w:rFonts w:ascii="Calibri" w:eastAsia="Times New Roman" w:hAnsi="Calibri" w:cs="Calibri"/>
          <w:i/>
          <w:iCs/>
          <w:color w:val="333333"/>
          <w:sz w:val="20"/>
          <w:szCs w:val="20"/>
        </w:rPr>
        <w:t> and beneficiaries and—</w:t>
      </w:r>
    </w:p>
    <w:p w14:paraId="0A9366F8" w14:textId="529A1CD0" w:rsidR="0076115A" w:rsidRPr="00F50C97" w:rsidRDefault="0076115A" w:rsidP="001D5A1A">
      <w:pPr>
        <w:spacing w:after="120" w:line="240" w:lineRule="auto"/>
        <w:ind w:left="2530" w:hanging="545"/>
        <w:jc w:val="both"/>
        <w:rPr>
          <w:rFonts w:ascii="Calibri" w:eastAsia="Times New Roman" w:hAnsi="Calibri" w:cs="Calibri"/>
          <w:i/>
          <w:iCs/>
          <w:color w:val="333333"/>
          <w:sz w:val="20"/>
          <w:szCs w:val="20"/>
        </w:rPr>
      </w:pPr>
      <w:bookmarkStart w:id="4" w:name="a_1_A"/>
      <w:bookmarkEnd w:id="4"/>
      <w:r w:rsidRPr="00F50C97">
        <w:rPr>
          <w:rFonts w:ascii="Calibri" w:eastAsia="Times New Roman" w:hAnsi="Calibri" w:cs="Calibri"/>
          <w:i/>
          <w:iCs/>
          <w:color w:val="333333"/>
          <w:sz w:val="20"/>
          <w:szCs w:val="20"/>
        </w:rPr>
        <w:t>(A)</w:t>
      </w:r>
      <w:r w:rsidR="00A336EE">
        <w:rPr>
          <w:rFonts w:ascii="Calibri" w:eastAsia="Times New Roman" w:hAnsi="Calibri" w:cs="Calibri"/>
          <w:i/>
          <w:iCs/>
          <w:color w:val="333333"/>
          <w:sz w:val="20"/>
          <w:szCs w:val="20"/>
        </w:rPr>
        <w:tab/>
      </w:r>
      <w:r w:rsidRPr="00F50C97">
        <w:rPr>
          <w:rFonts w:ascii="Calibri" w:eastAsia="Times New Roman" w:hAnsi="Calibri" w:cs="Calibri"/>
          <w:i/>
          <w:iCs/>
          <w:color w:val="333333"/>
          <w:sz w:val="20"/>
          <w:szCs w:val="20"/>
        </w:rPr>
        <w:t>for the exclusive purpose of:</w:t>
      </w:r>
    </w:p>
    <w:p w14:paraId="1F199A90" w14:textId="600EE398" w:rsidR="0076115A" w:rsidRDefault="00A336EE" w:rsidP="001D5A1A">
      <w:pPr>
        <w:tabs>
          <w:tab w:val="left" w:pos="2552"/>
        </w:tabs>
        <w:spacing w:after="120" w:line="240" w:lineRule="auto"/>
        <w:ind w:left="1440"/>
        <w:jc w:val="both"/>
        <w:rPr>
          <w:rFonts w:ascii="Calibri" w:eastAsia="Times New Roman" w:hAnsi="Calibri" w:cs="Calibri"/>
          <w:i/>
          <w:iCs/>
          <w:color w:val="333333"/>
          <w:sz w:val="20"/>
          <w:szCs w:val="20"/>
        </w:rPr>
      </w:pPr>
      <w:bookmarkStart w:id="5" w:name="a_1_A_i"/>
      <w:bookmarkEnd w:id="5"/>
      <w:r>
        <w:rPr>
          <w:rFonts w:ascii="Calibri" w:eastAsia="Times New Roman" w:hAnsi="Calibri" w:cs="Calibri"/>
          <w:i/>
          <w:iCs/>
          <w:color w:val="333333"/>
          <w:sz w:val="20"/>
          <w:szCs w:val="20"/>
        </w:rPr>
        <w:tab/>
      </w:r>
      <w:r w:rsidR="0076115A" w:rsidRPr="00F50C97">
        <w:rPr>
          <w:rFonts w:ascii="Calibri" w:eastAsia="Times New Roman" w:hAnsi="Calibri" w:cs="Calibri"/>
          <w:i/>
          <w:iCs/>
          <w:color w:val="333333"/>
          <w:sz w:val="20"/>
          <w:szCs w:val="20"/>
        </w:rPr>
        <w:t>(i)</w:t>
      </w:r>
      <w:r>
        <w:rPr>
          <w:rFonts w:ascii="Calibri" w:eastAsia="Times New Roman" w:hAnsi="Calibri" w:cs="Calibri"/>
          <w:i/>
          <w:iCs/>
          <w:color w:val="333333"/>
          <w:sz w:val="20"/>
          <w:szCs w:val="20"/>
        </w:rPr>
        <w:tab/>
        <w:t xml:space="preserve"> </w:t>
      </w:r>
      <w:r w:rsidR="0076115A" w:rsidRPr="00F50C97">
        <w:rPr>
          <w:rFonts w:ascii="Calibri" w:eastAsia="Times New Roman" w:hAnsi="Calibri" w:cs="Calibri"/>
          <w:i/>
          <w:iCs/>
          <w:color w:val="333333"/>
          <w:sz w:val="20"/>
          <w:szCs w:val="20"/>
        </w:rPr>
        <w:t>providing benefits to </w:t>
      </w:r>
      <w:hyperlink r:id="rId11" w:history="1">
        <w:r w:rsidR="0076115A" w:rsidRPr="00F50C97">
          <w:rPr>
            <w:rFonts w:ascii="Calibri" w:eastAsia="Times New Roman" w:hAnsi="Calibri" w:cs="Calibri"/>
            <w:i/>
            <w:iCs/>
            <w:color w:val="001C72"/>
            <w:sz w:val="20"/>
            <w:szCs w:val="20"/>
          </w:rPr>
          <w:t>participants</w:t>
        </w:r>
      </w:hyperlink>
      <w:r w:rsidR="0076115A" w:rsidRPr="00F50C97">
        <w:rPr>
          <w:rFonts w:ascii="Calibri" w:eastAsia="Times New Roman" w:hAnsi="Calibri" w:cs="Calibri"/>
          <w:i/>
          <w:iCs/>
          <w:color w:val="333333"/>
          <w:sz w:val="20"/>
          <w:szCs w:val="20"/>
        </w:rPr>
        <w:t> and their beneficiaries; and</w:t>
      </w:r>
    </w:p>
    <w:p w14:paraId="4952F9BF" w14:textId="09A35844" w:rsidR="0076115A" w:rsidRPr="00F50C97" w:rsidRDefault="00A336EE" w:rsidP="001D5A1A">
      <w:pPr>
        <w:tabs>
          <w:tab w:val="left" w:pos="2552"/>
        </w:tabs>
        <w:spacing w:after="120" w:line="240" w:lineRule="auto"/>
        <w:ind w:left="1440"/>
        <w:jc w:val="both"/>
        <w:rPr>
          <w:rFonts w:ascii="Calibri" w:eastAsia="Times New Roman" w:hAnsi="Calibri" w:cs="Calibri"/>
          <w:i/>
          <w:iCs/>
          <w:color w:val="001C72"/>
          <w:sz w:val="20"/>
          <w:szCs w:val="20"/>
        </w:rPr>
      </w:pPr>
      <w:r>
        <w:rPr>
          <w:rFonts w:ascii="Calibri" w:eastAsia="Times New Roman" w:hAnsi="Calibri" w:cs="Calibri"/>
          <w:i/>
          <w:iCs/>
          <w:color w:val="333333"/>
          <w:sz w:val="20"/>
          <w:szCs w:val="20"/>
        </w:rPr>
        <w:tab/>
      </w:r>
      <w:bookmarkStart w:id="6" w:name="a_1_A_ii"/>
      <w:bookmarkEnd w:id="6"/>
      <w:r w:rsidR="0076115A" w:rsidRPr="00F50C97">
        <w:rPr>
          <w:rFonts w:ascii="Calibri" w:eastAsia="Times New Roman" w:hAnsi="Calibri" w:cs="Calibri"/>
          <w:i/>
          <w:iCs/>
          <w:color w:val="333333"/>
          <w:sz w:val="20"/>
          <w:szCs w:val="20"/>
        </w:rPr>
        <w:t>(ii)</w:t>
      </w:r>
      <w:r>
        <w:rPr>
          <w:rFonts w:ascii="Calibri" w:eastAsia="Times New Roman" w:hAnsi="Calibri" w:cs="Calibri"/>
          <w:i/>
          <w:iCs/>
          <w:color w:val="333333"/>
          <w:sz w:val="20"/>
          <w:szCs w:val="20"/>
        </w:rPr>
        <w:t xml:space="preserve"> </w:t>
      </w:r>
      <w:r w:rsidR="0076115A" w:rsidRPr="00F50C97">
        <w:rPr>
          <w:rFonts w:ascii="Calibri" w:eastAsia="Times New Roman" w:hAnsi="Calibri" w:cs="Calibri"/>
          <w:i/>
          <w:iCs/>
          <w:color w:val="333333"/>
          <w:sz w:val="20"/>
          <w:szCs w:val="20"/>
        </w:rPr>
        <w:t>defraying reasonable expenses of administering the </w:t>
      </w:r>
      <w:hyperlink r:id="rId12" w:history="1">
        <w:r w:rsidR="0076115A" w:rsidRPr="00F50C97">
          <w:rPr>
            <w:rFonts w:ascii="Calibri" w:eastAsia="Times New Roman" w:hAnsi="Calibri" w:cs="Calibri"/>
            <w:i/>
            <w:iCs/>
            <w:color w:val="001C72"/>
            <w:sz w:val="20"/>
            <w:szCs w:val="20"/>
          </w:rPr>
          <w:t>plan</w:t>
        </w:r>
      </w:hyperlink>
    </w:p>
    <w:p w14:paraId="0F43F5F2" w14:textId="4743BC94" w:rsidR="0076115A" w:rsidRPr="00F50C97" w:rsidRDefault="0076115A" w:rsidP="001D5A1A">
      <w:pPr>
        <w:spacing w:after="120" w:line="240" w:lineRule="auto"/>
        <w:ind w:left="2552" w:hanging="567"/>
        <w:jc w:val="both"/>
        <w:rPr>
          <w:rFonts w:ascii="Calibri" w:eastAsia="Times New Roman" w:hAnsi="Calibri" w:cs="Calibri"/>
          <w:i/>
          <w:iCs/>
          <w:color w:val="001C72"/>
          <w:sz w:val="20"/>
          <w:szCs w:val="20"/>
        </w:rPr>
      </w:pPr>
      <w:r w:rsidRPr="00F50C97">
        <w:rPr>
          <w:rFonts w:ascii="Calibri" w:eastAsia="Times New Roman" w:hAnsi="Calibri" w:cs="Calibri"/>
          <w:i/>
          <w:iCs/>
          <w:color w:val="333333"/>
          <w:sz w:val="20"/>
          <w:szCs w:val="20"/>
        </w:rPr>
        <w:t>(B)</w:t>
      </w:r>
      <w:r w:rsidR="00A336EE">
        <w:rPr>
          <w:rFonts w:ascii="Calibri" w:eastAsia="Times New Roman" w:hAnsi="Calibri" w:cs="Calibri"/>
          <w:i/>
          <w:iCs/>
          <w:color w:val="333333"/>
          <w:sz w:val="20"/>
          <w:szCs w:val="20"/>
        </w:rPr>
        <w:tab/>
      </w:r>
      <w:r w:rsidRPr="00F50C97">
        <w:rPr>
          <w:rFonts w:ascii="Calibri" w:eastAsia="Times New Roman" w:hAnsi="Calibri" w:cs="Calibri"/>
          <w:i/>
          <w:iCs/>
          <w:color w:val="333333"/>
          <w:sz w:val="20"/>
          <w:szCs w:val="20"/>
        </w:rPr>
        <w:t>with the care, skill, prudence, and diligence under the circumstances then prevailing that a prudent man acting in a like capacity and familiar with such matters would use in the conduct of an enterprise of a like character and with like aims;</w:t>
      </w:r>
    </w:p>
    <w:p w14:paraId="3D3F0B6C" w14:textId="0CA64B5E" w:rsidR="0076115A" w:rsidRPr="00F50C97" w:rsidRDefault="0076115A" w:rsidP="001D5A1A">
      <w:pPr>
        <w:spacing w:after="120" w:line="240" w:lineRule="auto"/>
        <w:ind w:left="2552" w:hanging="567"/>
        <w:jc w:val="both"/>
        <w:rPr>
          <w:rFonts w:ascii="Calibri" w:eastAsia="Times New Roman" w:hAnsi="Calibri" w:cs="Calibri"/>
          <w:i/>
          <w:iCs/>
          <w:color w:val="333333"/>
          <w:sz w:val="20"/>
          <w:szCs w:val="20"/>
        </w:rPr>
      </w:pPr>
      <w:r w:rsidRPr="00F50C97">
        <w:rPr>
          <w:rFonts w:ascii="Calibri" w:eastAsia="Times New Roman" w:hAnsi="Calibri" w:cs="Calibri"/>
          <w:i/>
          <w:iCs/>
          <w:color w:val="333333"/>
          <w:sz w:val="20"/>
          <w:szCs w:val="20"/>
        </w:rPr>
        <w:t>(C)</w:t>
      </w:r>
      <w:r w:rsidR="00A336EE">
        <w:rPr>
          <w:rFonts w:ascii="Calibri" w:eastAsia="Times New Roman" w:hAnsi="Calibri" w:cs="Calibri"/>
          <w:i/>
          <w:iCs/>
          <w:color w:val="333333"/>
          <w:sz w:val="20"/>
          <w:szCs w:val="20"/>
        </w:rPr>
        <w:tab/>
      </w:r>
      <w:r w:rsidRPr="00F50C97">
        <w:rPr>
          <w:rFonts w:ascii="Calibri" w:eastAsia="Times New Roman" w:hAnsi="Calibri" w:cs="Calibri"/>
          <w:i/>
          <w:iCs/>
          <w:color w:val="333333"/>
          <w:sz w:val="20"/>
          <w:szCs w:val="20"/>
        </w:rPr>
        <w:t xml:space="preserve">by diversifying the investments of the plan so as to </w:t>
      </w:r>
      <w:proofErr w:type="spellStart"/>
      <w:r w:rsidRPr="00F50C97">
        <w:rPr>
          <w:rFonts w:ascii="Calibri" w:eastAsia="Times New Roman" w:hAnsi="Calibri" w:cs="Calibri"/>
          <w:i/>
          <w:iCs/>
          <w:color w:val="333333"/>
          <w:sz w:val="20"/>
          <w:szCs w:val="20"/>
        </w:rPr>
        <w:t>minimize</w:t>
      </w:r>
      <w:proofErr w:type="spellEnd"/>
      <w:r w:rsidRPr="00F50C97">
        <w:rPr>
          <w:rFonts w:ascii="Calibri" w:eastAsia="Times New Roman" w:hAnsi="Calibri" w:cs="Calibri"/>
          <w:i/>
          <w:iCs/>
          <w:color w:val="333333"/>
          <w:sz w:val="20"/>
          <w:szCs w:val="20"/>
        </w:rPr>
        <w:t xml:space="preserve"> the risk of large losses, unless under the circumstances it is clearly prudent not to do so; and</w:t>
      </w:r>
    </w:p>
    <w:p w14:paraId="36A60527" w14:textId="62A60134" w:rsidR="0076115A" w:rsidRPr="00F50C97" w:rsidRDefault="0076115A" w:rsidP="001D5A1A">
      <w:pPr>
        <w:spacing w:after="120" w:line="240" w:lineRule="auto"/>
        <w:ind w:left="2552" w:hanging="567"/>
        <w:jc w:val="both"/>
        <w:rPr>
          <w:rFonts w:ascii="Calibri" w:eastAsia="Times New Roman" w:hAnsi="Calibri" w:cs="Calibri"/>
          <w:color w:val="333333"/>
          <w:sz w:val="20"/>
          <w:szCs w:val="20"/>
        </w:rPr>
      </w:pPr>
      <w:r w:rsidRPr="00F50C97">
        <w:rPr>
          <w:rFonts w:ascii="Calibri" w:eastAsia="Times New Roman" w:hAnsi="Calibri" w:cs="Calibri"/>
          <w:i/>
          <w:iCs/>
          <w:color w:val="333333"/>
          <w:sz w:val="20"/>
          <w:szCs w:val="20"/>
        </w:rPr>
        <w:t>(D)</w:t>
      </w:r>
      <w:r w:rsidR="00A336EE">
        <w:rPr>
          <w:rFonts w:ascii="Calibri" w:eastAsia="Times New Roman" w:hAnsi="Calibri" w:cs="Calibri"/>
          <w:i/>
          <w:iCs/>
          <w:color w:val="333333"/>
          <w:sz w:val="20"/>
          <w:szCs w:val="20"/>
        </w:rPr>
        <w:tab/>
      </w:r>
      <w:r w:rsidRPr="00F50C97">
        <w:rPr>
          <w:rFonts w:ascii="Calibri" w:eastAsia="Times New Roman" w:hAnsi="Calibri" w:cs="Calibri"/>
          <w:i/>
          <w:iCs/>
          <w:color w:val="333333"/>
          <w:sz w:val="20"/>
          <w:szCs w:val="20"/>
        </w:rPr>
        <w:t>in accordance with the documents and instruments governing the plan insofar as such documents and instruments are consistent with the provisions of [ERISA].</w:t>
      </w:r>
      <w:r w:rsidRPr="00F50C97">
        <w:rPr>
          <w:rFonts w:ascii="Calibri" w:eastAsia="Times New Roman" w:hAnsi="Calibri" w:cs="Calibri"/>
          <w:color w:val="333333"/>
          <w:sz w:val="20"/>
          <w:szCs w:val="20"/>
        </w:rPr>
        <w:t>”</w:t>
      </w:r>
    </w:p>
    <w:p w14:paraId="1A20779F" w14:textId="3CE71834" w:rsidR="0076115A" w:rsidRPr="006761D3" w:rsidRDefault="00A336EE" w:rsidP="00746A21">
      <w:pPr>
        <w:spacing w:after="0" w:line="240" w:lineRule="auto"/>
        <w:ind w:firstLine="720"/>
        <w:jc w:val="both"/>
        <w:rPr>
          <w:rFonts w:ascii="Calibri" w:eastAsia="Times New Roman" w:hAnsi="Calibri" w:cs="Calibri"/>
          <w:color w:val="000000"/>
          <w:sz w:val="18"/>
          <w:szCs w:val="18"/>
        </w:rPr>
      </w:pPr>
      <w:r w:rsidRPr="006761D3">
        <w:rPr>
          <w:rFonts w:ascii="Calibri" w:eastAsia="Times New Roman" w:hAnsi="Calibri" w:cs="Calibri"/>
          <w:b/>
          <w:bCs/>
          <w:color w:val="000000"/>
          <w:sz w:val="18"/>
          <w:szCs w:val="18"/>
        </w:rPr>
        <w:lastRenderedPageBreak/>
        <w:t>Note 1:</w:t>
      </w:r>
      <w:r w:rsidRPr="006761D3">
        <w:rPr>
          <w:rFonts w:ascii="Calibri" w:eastAsia="Times New Roman" w:hAnsi="Calibri" w:cs="Calibri"/>
          <w:color w:val="000000"/>
          <w:sz w:val="18"/>
          <w:szCs w:val="18"/>
        </w:rPr>
        <w:t xml:space="preserve"> </w:t>
      </w:r>
      <w:r w:rsidR="0076115A" w:rsidRPr="006761D3">
        <w:rPr>
          <w:rFonts w:ascii="Calibri" w:eastAsia="Times New Roman" w:hAnsi="Calibri" w:cs="Calibri"/>
          <w:color w:val="000000"/>
          <w:sz w:val="18"/>
          <w:szCs w:val="18"/>
        </w:rPr>
        <w:t>Referred to as duties of loyalty, prudence, diversification, and to follow plan documents</w:t>
      </w:r>
      <w:r w:rsidR="00746A21" w:rsidRPr="006761D3">
        <w:rPr>
          <w:rFonts w:ascii="Calibri" w:eastAsia="Times New Roman" w:hAnsi="Calibri" w:cs="Calibri"/>
          <w:color w:val="000000"/>
          <w:sz w:val="18"/>
          <w:szCs w:val="18"/>
        </w:rPr>
        <w:t>.</w:t>
      </w:r>
    </w:p>
    <w:p w14:paraId="5A242CD8" w14:textId="77777777" w:rsidR="00746A21" w:rsidRPr="006761D3" w:rsidRDefault="00746A21" w:rsidP="00746A21">
      <w:pPr>
        <w:spacing w:after="0" w:line="240" w:lineRule="auto"/>
        <w:ind w:firstLine="720"/>
        <w:jc w:val="both"/>
        <w:rPr>
          <w:rFonts w:ascii="Calibri" w:eastAsia="Times New Roman" w:hAnsi="Calibri" w:cs="Calibri"/>
          <w:color w:val="000000"/>
          <w:sz w:val="18"/>
          <w:szCs w:val="18"/>
        </w:rPr>
      </w:pPr>
    </w:p>
    <w:p w14:paraId="28C30411" w14:textId="7C2CDD1E" w:rsidR="0076115A" w:rsidRPr="006761D3" w:rsidRDefault="00A336EE" w:rsidP="00746A21">
      <w:pPr>
        <w:spacing w:after="0" w:line="240" w:lineRule="auto"/>
        <w:ind w:left="720"/>
        <w:jc w:val="both"/>
        <w:rPr>
          <w:rFonts w:ascii="Calibri" w:eastAsia="Times New Roman" w:hAnsi="Calibri" w:cs="Calibri"/>
          <w:color w:val="000000"/>
          <w:sz w:val="18"/>
          <w:szCs w:val="18"/>
        </w:rPr>
      </w:pPr>
      <w:r w:rsidRPr="006761D3">
        <w:rPr>
          <w:rFonts w:ascii="Calibri" w:eastAsia="Times New Roman" w:hAnsi="Calibri" w:cs="Calibri"/>
          <w:b/>
          <w:bCs/>
          <w:color w:val="000000"/>
          <w:sz w:val="18"/>
          <w:szCs w:val="18"/>
        </w:rPr>
        <w:t>Note 2:</w:t>
      </w:r>
      <w:r w:rsidRPr="006761D3">
        <w:rPr>
          <w:rFonts w:ascii="Calibri" w:eastAsia="Times New Roman" w:hAnsi="Calibri" w:cs="Calibri"/>
          <w:color w:val="000000"/>
          <w:sz w:val="18"/>
          <w:szCs w:val="18"/>
        </w:rPr>
        <w:t xml:space="preserve"> </w:t>
      </w:r>
      <w:r w:rsidR="0076115A" w:rsidRPr="006761D3">
        <w:rPr>
          <w:rFonts w:ascii="Calibri" w:eastAsia="Times New Roman" w:hAnsi="Calibri" w:cs="Calibri"/>
          <w:color w:val="000000"/>
          <w:sz w:val="18"/>
          <w:szCs w:val="18"/>
        </w:rPr>
        <w:t>US Department of Labor regulations specify that the duties of prudence and loyalty require ERISA plan fiduciaries to focus on relevant risk-return factors and not subordinate the interests of participants and beneficiaries (such as by sacrificing investment returns or taking on additional investment risk) to objectives unrelated to the provision of benefits under the plan.  This standard is the regulatory core of the debate in the US regarding consideration of ESG factors in retirement plan investing.</w:t>
      </w:r>
    </w:p>
    <w:p w14:paraId="5C7FBBD1" w14:textId="77777777" w:rsidR="0076115A" w:rsidRDefault="0076115A" w:rsidP="0076115A">
      <w:pPr>
        <w:spacing w:after="0" w:line="240" w:lineRule="auto"/>
        <w:rPr>
          <w:rFonts w:ascii="Calibri" w:eastAsia="Times New Roman" w:hAnsi="Calibri" w:cs="Calibri"/>
          <w:color w:val="000000"/>
        </w:rPr>
      </w:pPr>
    </w:p>
    <w:p w14:paraId="236154F8" w14:textId="63A0DBC1" w:rsidR="00C56FCC" w:rsidRPr="000A6E9F" w:rsidRDefault="00C56FCC" w:rsidP="00C56FCC">
      <w:pPr>
        <w:spacing w:after="0" w:line="240" w:lineRule="auto"/>
        <w:rPr>
          <w:rFonts w:ascii="Calibri" w:eastAsia="Times New Roman" w:hAnsi="Calibri" w:cs="Calibri"/>
          <w:b/>
          <w:bCs/>
          <w:color w:val="000000"/>
        </w:rPr>
      </w:pPr>
      <w:r>
        <w:rPr>
          <w:rFonts w:ascii="Calibri" w:eastAsia="Times New Roman" w:hAnsi="Calibri" w:cs="Calibri"/>
          <w:b/>
          <w:bCs/>
          <w:color w:val="000000"/>
        </w:rPr>
        <w:t>I</w:t>
      </w:r>
      <w:r w:rsidRPr="000A6E9F">
        <w:rPr>
          <w:rFonts w:ascii="Calibri" w:eastAsia="Times New Roman" w:hAnsi="Calibri" w:cs="Calibri"/>
          <w:b/>
          <w:bCs/>
          <w:color w:val="000000"/>
        </w:rPr>
        <w:t xml:space="preserve">. </w:t>
      </w:r>
      <w:r>
        <w:rPr>
          <w:rFonts w:ascii="Calibri" w:eastAsia="Times New Roman" w:hAnsi="Calibri" w:cs="Calibri"/>
          <w:b/>
          <w:bCs/>
          <w:color w:val="000000"/>
        </w:rPr>
        <w:tab/>
      </w:r>
      <w:r w:rsidRPr="00C56FCC">
        <w:rPr>
          <w:rFonts w:ascii="Calibri" w:eastAsia="Times New Roman" w:hAnsi="Calibri" w:cs="Calibri"/>
          <w:b/>
          <w:bCs/>
          <w:color w:val="000000"/>
          <w:u w:val="single"/>
        </w:rPr>
        <w:t>Liability driven investment and leveraged LDI of plan assets: Background</w:t>
      </w:r>
    </w:p>
    <w:p w14:paraId="68057772" w14:textId="77777777" w:rsidR="00C56FCC" w:rsidRPr="000A6E9F" w:rsidRDefault="00C56FCC" w:rsidP="00C56FCC">
      <w:pPr>
        <w:spacing w:after="0" w:line="240" w:lineRule="auto"/>
        <w:rPr>
          <w:rFonts w:ascii="Calibri" w:eastAsia="Times New Roman" w:hAnsi="Calibri" w:cs="Calibri"/>
          <w:color w:val="000000"/>
        </w:rPr>
      </w:pPr>
    </w:p>
    <w:p w14:paraId="34C449F3" w14:textId="47A71596" w:rsidR="00C56FCC" w:rsidRPr="000A6E9F" w:rsidRDefault="00C56FCC"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1.</w:t>
      </w:r>
      <w:r>
        <w:rPr>
          <w:rFonts w:ascii="Calibri" w:eastAsia="Times New Roman" w:hAnsi="Calibri" w:cs="Calibri"/>
          <w:color w:val="000000"/>
        </w:rPr>
        <w:tab/>
      </w:r>
      <w:r w:rsidRPr="000A6E9F">
        <w:rPr>
          <w:rFonts w:ascii="Calibri" w:eastAsia="Times New Roman" w:hAnsi="Calibri" w:cs="Calibri"/>
          <w:color w:val="000000"/>
        </w:rPr>
        <w:t xml:space="preserve">The combination of the accounting rules and the fall in interest rates led many sponsoring employers with DB plans in the UK </w:t>
      </w:r>
      <w:r>
        <w:rPr>
          <w:rFonts w:ascii="Calibri" w:eastAsia="Times New Roman" w:hAnsi="Calibri" w:cs="Calibri"/>
          <w:color w:val="000000"/>
        </w:rPr>
        <w:t xml:space="preserve">and the US </w:t>
      </w:r>
      <w:r w:rsidRPr="000A6E9F">
        <w:rPr>
          <w:rFonts w:ascii="Calibri" w:eastAsia="Times New Roman" w:hAnsi="Calibri" w:cs="Calibri"/>
          <w:color w:val="000000"/>
        </w:rPr>
        <w:t>to look at whether plan assets could be invested in a way which meant that the expected return on the plan assets mirrored the way the discount rate would be determined to calculate the present amount as at a valuation date of the plan’s DB estimated future benefit payment obligations.</w:t>
      </w:r>
    </w:p>
    <w:p w14:paraId="6955BA94" w14:textId="77777777" w:rsidR="00C56FCC" w:rsidRPr="000A6E9F" w:rsidRDefault="00C56FCC" w:rsidP="001D5A1A">
      <w:pPr>
        <w:spacing w:after="0" w:line="240" w:lineRule="auto"/>
        <w:jc w:val="both"/>
        <w:rPr>
          <w:rFonts w:ascii="Calibri" w:eastAsia="Times New Roman" w:hAnsi="Calibri" w:cs="Calibri"/>
          <w:color w:val="000000"/>
        </w:rPr>
      </w:pPr>
    </w:p>
    <w:p w14:paraId="18E3AEAA" w14:textId="5C85104C" w:rsidR="00C56FCC" w:rsidRPr="000A6E9F" w:rsidRDefault="00C56FCC"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2.</w:t>
      </w:r>
      <w:r>
        <w:rPr>
          <w:rFonts w:ascii="Calibri" w:eastAsia="Times New Roman" w:hAnsi="Calibri" w:cs="Calibri"/>
          <w:color w:val="000000"/>
        </w:rPr>
        <w:tab/>
      </w:r>
      <w:r w:rsidRPr="000A6E9F">
        <w:rPr>
          <w:rFonts w:ascii="Calibri" w:eastAsia="Times New Roman" w:hAnsi="Calibri" w:cs="Calibri"/>
          <w:color w:val="000000"/>
        </w:rPr>
        <w:t xml:space="preserve">If the asset value and the liability amount moved in harmony, then there would be no future deficits (and future benefit provision would be on a DC only basis). Investing plan assets in line with the way the discount rate would be determined </w:t>
      </w:r>
      <w:r w:rsidR="0012164F">
        <w:rPr>
          <w:rFonts w:ascii="Calibri" w:eastAsia="Times New Roman" w:hAnsi="Calibri" w:cs="Calibri"/>
          <w:color w:val="000000"/>
        </w:rPr>
        <w:t>is commonly referred to as</w:t>
      </w:r>
      <w:r w:rsidRPr="000A6E9F">
        <w:rPr>
          <w:rFonts w:ascii="Calibri" w:eastAsia="Times New Roman" w:hAnsi="Calibri" w:cs="Calibri"/>
          <w:color w:val="000000"/>
        </w:rPr>
        <w:t xml:space="preserve"> liability driven investment (“</w:t>
      </w:r>
      <w:r w:rsidRPr="000A6E9F">
        <w:rPr>
          <w:rFonts w:ascii="Calibri" w:eastAsia="Times New Roman" w:hAnsi="Calibri" w:cs="Calibri"/>
          <w:b/>
          <w:bCs/>
          <w:color w:val="000000"/>
        </w:rPr>
        <w:t>LDI</w:t>
      </w:r>
      <w:r w:rsidRPr="000A6E9F">
        <w:rPr>
          <w:rFonts w:ascii="Calibri" w:eastAsia="Times New Roman" w:hAnsi="Calibri" w:cs="Calibri"/>
          <w:color w:val="000000"/>
        </w:rPr>
        <w:t>”).</w:t>
      </w:r>
    </w:p>
    <w:p w14:paraId="71B05CA3" w14:textId="77777777" w:rsidR="00C56FCC" w:rsidRPr="000A6E9F" w:rsidRDefault="00C56FCC" w:rsidP="00C56FCC">
      <w:pPr>
        <w:spacing w:after="0" w:line="240" w:lineRule="auto"/>
        <w:rPr>
          <w:rFonts w:ascii="Calibri" w:eastAsia="Times New Roman" w:hAnsi="Calibri" w:cs="Calibri"/>
          <w:color w:val="000000"/>
        </w:rPr>
      </w:pPr>
    </w:p>
    <w:p w14:paraId="15DED1DA" w14:textId="28321C83" w:rsidR="00C56FCC" w:rsidRPr="000A6E9F" w:rsidRDefault="00C56FCC"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3.</w:t>
      </w:r>
      <w:r>
        <w:rPr>
          <w:rFonts w:ascii="Calibri" w:eastAsia="Times New Roman" w:hAnsi="Calibri" w:cs="Calibri"/>
          <w:color w:val="000000"/>
        </w:rPr>
        <w:tab/>
      </w:r>
      <w:r w:rsidRPr="000A6E9F">
        <w:rPr>
          <w:rFonts w:ascii="Calibri" w:eastAsia="Times New Roman" w:hAnsi="Calibri" w:cs="Calibri"/>
          <w:color w:val="000000"/>
        </w:rPr>
        <w:t xml:space="preserve">If the plan was in deficit, then through the use of leverage, the pension plan could try to match the discount rate for all of its future estimated benefit obligations - leveraged LDI or </w:t>
      </w:r>
      <w:r w:rsidRPr="00F83B70">
        <w:rPr>
          <w:rFonts w:ascii="Calibri" w:eastAsia="Times New Roman" w:hAnsi="Calibri" w:cs="Calibri"/>
          <w:b/>
          <w:bCs/>
          <w:color w:val="000000"/>
        </w:rPr>
        <w:t>LLDI</w:t>
      </w:r>
      <w:r w:rsidRPr="000A6E9F">
        <w:rPr>
          <w:rFonts w:ascii="Calibri" w:eastAsia="Times New Roman" w:hAnsi="Calibri" w:cs="Calibri"/>
          <w:color w:val="000000"/>
        </w:rPr>
        <w:t>- while seeking to generate a higher return on some plan assets to reduce the cost to the employer of making good the deficit (</w:t>
      </w:r>
      <w:r>
        <w:rPr>
          <w:rFonts w:ascii="Calibri" w:eastAsia="Times New Roman" w:hAnsi="Calibri" w:cs="Calibri"/>
          <w:color w:val="000000"/>
        </w:rPr>
        <w:t xml:space="preserve">and </w:t>
      </w:r>
      <w:r w:rsidRPr="000A6E9F">
        <w:rPr>
          <w:rFonts w:ascii="Calibri" w:eastAsia="Times New Roman" w:hAnsi="Calibri" w:cs="Calibri"/>
          <w:color w:val="000000"/>
        </w:rPr>
        <w:t>reducing, if the strategy was successful, the plan’s dependency on the sponsoring employer). </w:t>
      </w:r>
    </w:p>
    <w:p w14:paraId="20255CC2" w14:textId="77777777" w:rsidR="00C56FCC" w:rsidRPr="000A6E9F" w:rsidRDefault="00C56FCC" w:rsidP="001D5A1A">
      <w:pPr>
        <w:spacing w:after="0" w:line="240" w:lineRule="auto"/>
        <w:jc w:val="both"/>
        <w:rPr>
          <w:rFonts w:ascii="Calibri" w:eastAsia="Times New Roman" w:hAnsi="Calibri" w:cs="Calibri"/>
          <w:color w:val="000000"/>
        </w:rPr>
      </w:pPr>
    </w:p>
    <w:p w14:paraId="546439AB" w14:textId="57445CCC" w:rsidR="00C56FCC" w:rsidRPr="000A6E9F" w:rsidRDefault="00C56FCC"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4.</w:t>
      </w:r>
      <w:r>
        <w:rPr>
          <w:rFonts w:ascii="Calibri" w:eastAsia="Times New Roman" w:hAnsi="Calibri" w:cs="Calibri"/>
          <w:color w:val="000000"/>
        </w:rPr>
        <w:tab/>
      </w:r>
      <w:r w:rsidRPr="000A6E9F">
        <w:rPr>
          <w:rFonts w:ascii="Calibri" w:eastAsia="Times New Roman" w:hAnsi="Calibri" w:cs="Calibri"/>
          <w:color w:val="000000"/>
        </w:rPr>
        <w:t xml:space="preserve">This all went spectacularly wrong in </w:t>
      </w:r>
      <w:r>
        <w:rPr>
          <w:rFonts w:ascii="Calibri" w:eastAsia="Times New Roman" w:hAnsi="Calibri" w:cs="Calibri"/>
          <w:color w:val="000000"/>
        </w:rPr>
        <w:t xml:space="preserve">the UK in </w:t>
      </w:r>
      <w:r w:rsidRPr="000A6E9F">
        <w:rPr>
          <w:rFonts w:ascii="Calibri" w:eastAsia="Times New Roman" w:hAnsi="Calibri" w:cs="Calibri"/>
          <w:color w:val="000000"/>
        </w:rPr>
        <w:t>October 2022. There is more detail in this pape</w:t>
      </w:r>
      <w:r w:rsidR="00F83B70">
        <w:rPr>
          <w:rFonts w:ascii="Calibri" w:eastAsia="Times New Roman" w:hAnsi="Calibri" w:cs="Calibri"/>
          <w:color w:val="000000"/>
        </w:rPr>
        <w:t>r:</w:t>
      </w:r>
      <w:hyperlink r:id="rId13" w:history="1">
        <w:r w:rsidR="00E50D81" w:rsidRPr="00CF5D38">
          <w:rPr>
            <w:rStyle w:val="Hyperlink"/>
            <w:rFonts w:ascii="Calibri" w:eastAsia="Times New Roman" w:hAnsi="Calibri" w:cs="Calibri"/>
          </w:rPr>
          <w:t> https://www.durham.ac.uk/media/durham-university/departments-/law-school/pdfs/news-pdfs/Leveraged-LDI---Prudent-deficit-risk-manage-or-ultra-vires-speculation.pdf</w:t>
        </w:r>
      </w:hyperlink>
    </w:p>
    <w:p w14:paraId="240541FE" w14:textId="77777777" w:rsidR="00C56FCC" w:rsidRPr="000A6E9F" w:rsidRDefault="00C56FCC" w:rsidP="00C56FCC">
      <w:pPr>
        <w:spacing w:after="0" w:line="240" w:lineRule="auto"/>
        <w:rPr>
          <w:rFonts w:ascii="Calibri" w:eastAsia="Times New Roman" w:hAnsi="Calibri" w:cs="Calibri"/>
          <w:color w:val="000000"/>
        </w:rPr>
      </w:pPr>
    </w:p>
    <w:p w14:paraId="4C86A344" w14:textId="1BBB8DB1" w:rsidR="001F3BBF" w:rsidRPr="000A6E9F" w:rsidRDefault="001F3BBF" w:rsidP="001F3BBF">
      <w:pPr>
        <w:spacing w:after="0" w:line="240" w:lineRule="auto"/>
        <w:rPr>
          <w:rFonts w:ascii="Calibri" w:eastAsia="Times New Roman" w:hAnsi="Calibri" w:cs="Calibri"/>
          <w:b/>
          <w:bCs/>
          <w:color w:val="000000"/>
        </w:rPr>
      </w:pPr>
      <w:r>
        <w:rPr>
          <w:rFonts w:ascii="Calibri" w:eastAsia="Times New Roman" w:hAnsi="Calibri" w:cs="Calibri"/>
          <w:b/>
          <w:bCs/>
          <w:color w:val="000000"/>
        </w:rPr>
        <w:t>J</w:t>
      </w:r>
      <w:r w:rsidRPr="000A6E9F">
        <w:rPr>
          <w:rFonts w:ascii="Calibri" w:eastAsia="Times New Roman" w:hAnsi="Calibri" w:cs="Calibri"/>
          <w:b/>
          <w:bCs/>
          <w:color w:val="000000"/>
        </w:rPr>
        <w:t xml:space="preserve">. </w:t>
      </w:r>
      <w:r>
        <w:rPr>
          <w:rFonts w:ascii="Calibri" w:eastAsia="Times New Roman" w:hAnsi="Calibri" w:cs="Calibri"/>
          <w:b/>
          <w:bCs/>
          <w:color w:val="000000"/>
        </w:rPr>
        <w:tab/>
      </w:r>
      <w:r w:rsidRPr="001F3BBF">
        <w:rPr>
          <w:rFonts w:ascii="Calibri" w:eastAsia="Times New Roman" w:hAnsi="Calibri" w:cs="Calibri"/>
          <w:b/>
          <w:bCs/>
          <w:color w:val="000000"/>
          <w:u w:val="single"/>
        </w:rPr>
        <w:t>Legal issues arising out of LDI and leveraged LDI</w:t>
      </w:r>
    </w:p>
    <w:p w14:paraId="64323A46" w14:textId="77777777" w:rsidR="001F3BBF" w:rsidRPr="000A6E9F" w:rsidRDefault="001F3BBF" w:rsidP="001F3BBF">
      <w:pPr>
        <w:spacing w:after="0" w:line="240" w:lineRule="auto"/>
        <w:rPr>
          <w:rFonts w:ascii="Calibri" w:eastAsia="Times New Roman" w:hAnsi="Calibri" w:cs="Calibri"/>
          <w:color w:val="000000"/>
        </w:rPr>
      </w:pPr>
    </w:p>
    <w:p w14:paraId="75F286B6" w14:textId="08B1D7A6" w:rsidR="001F3BBF" w:rsidRPr="000A6E9F" w:rsidRDefault="001F3BBF"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 xml:space="preserve">1. </w:t>
      </w:r>
      <w:r>
        <w:rPr>
          <w:rFonts w:ascii="Calibri" w:eastAsia="Times New Roman" w:hAnsi="Calibri" w:cs="Calibri"/>
          <w:color w:val="000000"/>
        </w:rPr>
        <w:tab/>
      </w:r>
      <w:r w:rsidRPr="000A6E9F">
        <w:rPr>
          <w:rFonts w:ascii="Calibri" w:eastAsia="Times New Roman" w:hAnsi="Calibri" w:cs="Calibri"/>
          <w:color w:val="000000"/>
        </w:rPr>
        <w:t xml:space="preserve">The aim of the investment strategy </w:t>
      </w:r>
      <w:r w:rsidR="008E76EA">
        <w:rPr>
          <w:rFonts w:ascii="Calibri" w:eastAsia="Times New Roman" w:hAnsi="Calibri" w:cs="Calibri"/>
          <w:color w:val="000000"/>
        </w:rPr>
        <w:t>is</w:t>
      </w:r>
      <w:r w:rsidRPr="000A6E9F">
        <w:rPr>
          <w:rFonts w:ascii="Calibri" w:eastAsia="Times New Roman" w:hAnsi="Calibri" w:cs="Calibri"/>
          <w:color w:val="000000"/>
        </w:rPr>
        <w:t xml:space="preserve"> not to maximise risk adjusted investment return but to reduce the likelihood of future deficits for accounting and employer deficit make up contribution purposes.</w:t>
      </w:r>
    </w:p>
    <w:p w14:paraId="7426FAE9" w14:textId="77777777" w:rsidR="001F3BBF" w:rsidRPr="000A6E9F" w:rsidRDefault="001F3BBF" w:rsidP="001D5A1A">
      <w:pPr>
        <w:spacing w:after="0" w:line="240" w:lineRule="auto"/>
        <w:jc w:val="both"/>
        <w:rPr>
          <w:rFonts w:ascii="Calibri" w:eastAsia="Times New Roman" w:hAnsi="Calibri" w:cs="Calibri"/>
          <w:color w:val="000000"/>
        </w:rPr>
      </w:pPr>
    </w:p>
    <w:p w14:paraId="1674B428" w14:textId="565DF1BA" w:rsidR="001F3BBF" w:rsidRPr="000A6E9F" w:rsidRDefault="001F3BBF"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2.</w:t>
      </w:r>
      <w:r>
        <w:rPr>
          <w:rFonts w:ascii="Calibri" w:eastAsia="Times New Roman" w:hAnsi="Calibri" w:cs="Calibri"/>
          <w:color w:val="000000"/>
        </w:rPr>
        <w:tab/>
      </w:r>
      <w:r w:rsidR="008E76EA">
        <w:rPr>
          <w:rFonts w:ascii="Calibri" w:eastAsia="Times New Roman" w:hAnsi="Calibri" w:cs="Calibri"/>
          <w:color w:val="000000"/>
        </w:rPr>
        <w:t xml:space="preserve">This raises the issue </w:t>
      </w:r>
      <w:r w:rsidRPr="000A6E9F">
        <w:rPr>
          <w:rFonts w:ascii="Calibri" w:eastAsia="Times New Roman" w:hAnsi="Calibri" w:cs="Calibri"/>
          <w:color w:val="000000"/>
        </w:rPr>
        <w:t>whether a LDI investing approach</w:t>
      </w:r>
      <w:r w:rsidR="00BE4C24">
        <w:rPr>
          <w:rFonts w:ascii="Calibri" w:eastAsia="Times New Roman" w:hAnsi="Calibri" w:cs="Calibri"/>
          <w:color w:val="000000"/>
        </w:rPr>
        <w:t xml:space="preserve"> is</w:t>
      </w:r>
      <w:r w:rsidRPr="000A6E9F">
        <w:rPr>
          <w:rFonts w:ascii="Calibri" w:eastAsia="Times New Roman" w:hAnsi="Calibri" w:cs="Calibri"/>
          <w:color w:val="000000"/>
        </w:rPr>
        <w:t xml:space="preserve"> in breach of the duty of loyalty owed by the plan fiduciary to the plan participants</w:t>
      </w:r>
      <w:r>
        <w:rPr>
          <w:rFonts w:ascii="Calibri" w:eastAsia="Times New Roman" w:hAnsi="Calibri" w:cs="Calibri"/>
          <w:color w:val="000000"/>
        </w:rPr>
        <w:t xml:space="preserve">. </w:t>
      </w:r>
      <w:r w:rsidR="00BE4C24">
        <w:rPr>
          <w:rFonts w:ascii="Calibri" w:eastAsia="Times New Roman" w:hAnsi="Calibri" w:cs="Calibri"/>
          <w:color w:val="000000"/>
        </w:rPr>
        <w:t xml:space="preserve">In this context the </w:t>
      </w:r>
      <w:r w:rsidRPr="000A6E9F">
        <w:rPr>
          <w:rFonts w:ascii="Calibri" w:eastAsia="Times New Roman" w:hAnsi="Calibri" w:cs="Calibri"/>
          <w:color w:val="000000"/>
        </w:rPr>
        <w:t>US Department of Labor ha</w:t>
      </w:r>
      <w:r w:rsidR="00BE4C24">
        <w:rPr>
          <w:rFonts w:ascii="Calibri" w:eastAsia="Times New Roman" w:hAnsi="Calibri" w:cs="Calibri"/>
          <w:color w:val="000000"/>
        </w:rPr>
        <w:t>s</w:t>
      </w:r>
      <w:r w:rsidRPr="000A6E9F">
        <w:rPr>
          <w:rFonts w:ascii="Calibri" w:eastAsia="Times New Roman" w:hAnsi="Calibri" w:cs="Calibri"/>
          <w:color w:val="000000"/>
        </w:rPr>
        <w:t xml:space="preserve"> provided an opinion </w:t>
      </w:r>
      <w:r w:rsidR="00BE4C24">
        <w:rPr>
          <w:rFonts w:ascii="Calibri" w:eastAsia="Times New Roman" w:hAnsi="Calibri" w:cs="Calibri"/>
          <w:color w:val="000000"/>
        </w:rPr>
        <w:t xml:space="preserve">on the duty of </w:t>
      </w:r>
      <w:r w:rsidR="00972092">
        <w:rPr>
          <w:rFonts w:ascii="Calibri" w:eastAsia="Times New Roman" w:hAnsi="Calibri" w:cs="Calibri"/>
          <w:color w:val="000000"/>
        </w:rPr>
        <w:t xml:space="preserve">loyalty </w:t>
      </w:r>
      <w:r w:rsidR="00BE4C24">
        <w:rPr>
          <w:rFonts w:ascii="Calibri" w:eastAsia="Times New Roman" w:hAnsi="Calibri" w:cs="Calibri"/>
          <w:color w:val="000000"/>
        </w:rPr>
        <w:t>point in relation to this strategy</w:t>
      </w:r>
      <w:r w:rsidR="008F45D7">
        <w:rPr>
          <w:rFonts w:ascii="Calibri" w:eastAsia="Times New Roman" w:hAnsi="Calibri" w:cs="Calibri"/>
          <w:color w:val="000000"/>
        </w:rPr>
        <w:t>.</w:t>
      </w:r>
      <w:r w:rsidR="00BE4C24">
        <w:rPr>
          <w:rFonts w:ascii="Calibri" w:eastAsia="Times New Roman" w:hAnsi="Calibri" w:cs="Calibri"/>
          <w:color w:val="000000"/>
        </w:rPr>
        <w:t xml:space="preserve"> </w:t>
      </w:r>
      <w:r>
        <w:rPr>
          <w:rFonts w:ascii="Calibri" w:eastAsia="Times New Roman" w:hAnsi="Calibri" w:cs="Calibri"/>
          <w:color w:val="000000"/>
        </w:rPr>
        <w:t xml:space="preserve">See </w:t>
      </w:r>
      <w:hyperlink r:id="rId14" w:history="1">
        <w:r w:rsidRPr="00600D55">
          <w:rPr>
            <w:rStyle w:val="Hyperlink"/>
            <w:rFonts w:ascii="Calibri" w:eastAsia="Times New Roman" w:hAnsi="Calibri" w:cs="Calibri"/>
          </w:rPr>
          <w:t>https://www.dol.gov/agencies/ebsa/about-ebsa/our-activities/resource-center/advisory-opinions/2006-08a</w:t>
        </w:r>
      </w:hyperlink>
      <w:r>
        <w:rPr>
          <w:rFonts w:ascii="Calibri" w:eastAsia="Times New Roman" w:hAnsi="Calibri" w:cs="Calibri"/>
          <w:color w:val="000000"/>
        </w:rPr>
        <w:t>.</w:t>
      </w:r>
    </w:p>
    <w:p w14:paraId="16303195" w14:textId="77777777" w:rsidR="001F3BBF" w:rsidRPr="000A6E9F" w:rsidRDefault="001F3BBF" w:rsidP="001D5A1A">
      <w:pPr>
        <w:spacing w:after="0" w:line="240" w:lineRule="auto"/>
        <w:jc w:val="both"/>
        <w:rPr>
          <w:rFonts w:ascii="Calibri" w:eastAsia="Times New Roman" w:hAnsi="Calibri" w:cs="Calibri"/>
          <w:color w:val="000000"/>
        </w:rPr>
      </w:pPr>
    </w:p>
    <w:p w14:paraId="51EAECCE" w14:textId="28BD8AFD" w:rsidR="001F3BBF" w:rsidRPr="000A6E9F" w:rsidRDefault="001F3BBF"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3.</w:t>
      </w:r>
      <w:r w:rsidR="00BE4C24">
        <w:rPr>
          <w:rFonts w:ascii="Calibri" w:eastAsia="Times New Roman" w:hAnsi="Calibri" w:cs="Calibri"/>
          <w:color w:val="000000"/>
        </w:rPr>
        <w:tab/>
      </w:r>
      <w:r w:rsidRPr="000A6E9F">
        <w:rPr>
          <w:rFonts w:ascii="Calibri" w:eastAsia="Times New Roman" w:hAnsi="Calibri" w:cs="Calibri"/>
          <w:color w:val="000000"/>
        </w:rPr>
        <w:t xml:space="preserve">In the UK there are a range of legal issues which are covered the paper referred to </w:t>
      </w:r>
      <w:r w:rsidR="00770E7B">
        <w:rPr>
          <w:rFonts w:ascii="Calibri" w:eastAsia="Times New Roman" w:hAnsi="Calibri" w:cs="Calibri"/>
          <w:color w:val="000000"/>
        </w:rPr>
        <w:t xml:space="preserve">at </w:t>
      </w:r>
      <w:r w:rsidR="00770E7B">
        <w:rPr>
          <w:rFonts w:ascii="Calibri" w:eastAsia="Times New Roman" w:hAnsi="Calibri" w:cs="Calibri"/>
          <w:b/>
          <w:bCs/>
          <w:color w:val="000000"/>
        </w:rPr>
        <w:t xml:space="preserve">I4 </w:t>
      </w:r>
      <w:r w:rsidRPr="000A6E9F">
        <w:rPr>
          <w:rFonts w:ascii="Calibri" w:eastAsia="Times New Roman" w:hAnsi="Calibri" w:cs="Calibri"/>
          <w:color w:val="000000"/>
        </w:rPr>
        <w:t xml:space="preserve">above. </w:t>
      </w:r>
      <w:r w:rsidR="0093515C">
        <w:rPr>
          <w:rFonts w:ascii="Calibri" w:eastAsia="Times New Roman" w:hAnsi="Calibri" w:cs="Calibri"/>
          <w:color w:val="000000"/>
        </w:rPr>
        <w:t>However, it was outside the scope of that paper to</w:t>
      </w:r>
      <w:r w:rsidRPr="000A6E9F">
        <w:rPr>
          <w:rFonts w:ascii="Calibri" w:eastAsia="Times New Roman" w:hAnsi="Calibri" w:cs="Calibri"/>
          <w:color w:val="000000"/>
        </w:rPr>
        <w:t xml:space="preserve"> </w:t>
      </w:r>
      <w:r w:rsidR="0093515C">
        <w:rPr>
          <w:rFonts w:ascii="Calibri" w:eastAsia="Times New Roman" w:hAnsi="Calibri" w:cs="Calibri"/>
          <w:color w:val="000000"/>
        </w:rPr>
        <w:t>discuss</w:t>
      </w:r>
      <w:r w:rsidRPr="000A6E9F">
        <w:rPr>
          <w:rFonts w:ascii="Calibri" w:eastAsia="Times New Roman" w:hAnsi="Calibri" w:cs="Calibri"/>
          <w:color w:val="000000"/>
        </w:rPr>
        <w:t xml:space="preserve"> the </w:t>
      </w:r>
      <w:r w:rsidR="0093515C">
        <w:rPr>
          <w:rFonts w:ascii="Calibri" w:eastAsia="Times New Roman" w:hAnsi="Calibri" w:cs="Calibri"/>
          <w:color w:val="000000"/>
        </w:rPr>
        <w:t xml:space="preserve">corresponding </w:t>
      </w:r>
      <w:r w:rsidRPr="000A6E9F">
        <w:rPr>
          <w:rFonts w:ascii="Calibri" w:eastAsia="Times New Roman" w:hAnsi="Calibri" w:cs="Calibri"/>
          <w:color w:val="000000"/>
        </w:rPr>
        <w:t>duty of loyalty point</w:t>
      </w:r>
      <w:r w:rsidR="0093515C">
        <w:rPr>
          <w:rFonts w:ascii="Calibri" w:eastAsia="Times New Roman" w:hAnsi="Calibri" w:cs="Calibri"/>
          <w:color w:val="000000"/>
        </w:rPr>
        <w:t xml:space="preserve"> as it applies in the UK. There is a question as to the extent of the plan trustee/fiduciary’s duty of care owed to the employer (as the first port of call to make good any valuation deficit). If the investment strategy is over cautious (“reckless prudence”), it can have a severe impact on the ability of the plan’s assets to generate an adequate investment return and on the strength of the employer covenant. And, an LDI investment strategy focussed on avoiding a deficit at an annual or tri-annual valuation date converts </w:t>
      </w:r>
      <w:r w:rsidR="0093515C">
        <w:rPr>
          <w:rFonts w:ascii="Calibri" w:eastAsia="Times New Roman" w:hAnsi="Calibri" w:cs="Calibri"/>
          <w:color w:val="000000"/>
        </w:rPr>
        <w:lastRenderedPageBreak/>
        <w:t>the long term investor of patient capital into an investor driven by a one year or three year time horizon.</w:t>
      </w:r>
    </w:p>
    <w:p w14:paraId="3C8B8635" w14:textId="77777777" w:rsidR="001F3BBF" w:rsidRPr="000A6E9F" w:rsidRDefault="001F3BBF" w:rsidP="001D5A1A">
      <w:pPr>
        <w:spacing w:after="0" w:line="240" w:lineRule="auto"/>
        <w:jc w:val="both"/>
        <w:rPr>
          <w:rFonts w:ascii="Calibri" w:eastAsia="Times New Roman" w:hAnsi="Calibri" w:cs="Calibri"/>
          <w:color w:val="000000"/>
        </w:rPr>
      </w:pPr>
    </w:p>
    <w:p w14:paraId="4FA88442" w14:textId="17B7377D" w:rsidR="001F3BBF" w:rsidRPr="000A6E9F" w:rsidRDefault="001F3BBF" w:rsidP="001D5A1A">
      <w:pPr>
        <w:spacing w:after="0" w:line="240" w:lineRule="auto"/>
        <w:ind w:left="720" w:hanging="720"/>
        <w:jc w:val="both"/>
        <w:rPr>
          <w:rFonts w:ascii="Calibri" w:eastAsia="Times New Roman" w:hAnsi="Calibri" w:cs="Calibri"/>
          <w:color w:val="000000"/>
        </w:rPr>
      </w:pPr>
      <w:r w:rsidRPr="000A6E9F">
        <w:rPr>
          <w:rFonts w:ascii="Calibri" w:eastAsia="Times New Roman" w:hAnsi="Calibri" w:cs="Calibri"/>
          <w:color w:val="000000"/>
        </w:rPr>
        <w:t xml:space="preserve">4. </w:t>
      </w:r>
      <w:r w:rsidR="00BE4C24">
        <w:rPr>
          <w:rFonts w:ascii="Calibri" w:eastAsia="Times New Roman" w:hAnsi="Calibri" w:cs="Calibri"/>
          <w:color w:val="000000"/>
        </w:rPr>
        <w:tab/>
        <w:t>L</w:t>
      </w:r>
      <w:r w:rsidRPr="000A6E9F">
        <w:rPr>
          <w:rFonts w:ascii="Calibri" w:eastAsia="Times New Roman" w:hAnsi="Calibri" w:cs="Calibri"/>
          <w:color w:val="000000"/>
        </w:rPr>
        <w:t>everage LDI is not used in the US for a number of reasons including some tax r</w:t>
      </w:r>
      <w:r w:rsidR="00BE4C24">
        <w:rPr>
          <w:rFonts w:ascii="Calibri" w:eastAsia="Times New Roman" w:hAnsi="Calibri" w:cs="Calibri"/>
          <w:color w:val="000000"/>
        </w:rPr>
        <w:t>easons on unrelated business taxable income (“</w:t>
      </w:r>
      <w:r w:rsidR="001D5A1A" w:rsidRPr="0093515C">
        <w:rPr>
          <w:rFonts w:ascii="Calibri" w:eastAsia="Times New Roman" w:hAnsi="Calibri" w:cs="Calibri"/>
          <w:b/>
          <w:bCs/>
          <w:color w:val="000000"/>
        </w:rPr>
        <w:t>UBTI</w:t>
      </w:r>
      <w:r w:rsidR="001D5A1A">
        <w:rPr>
          <w:rFonts w:ascii="Calibri" w:eastAsia="Times New Roman" w:hAnsi="Calibri" w:cs="Calibri"/>
          <w:color w:val="000000"/>
        </w:rPr>
        <w:t>”)</w:t>
      </w:r>
      <w:r w:rsidRPr="000A6E9F">
        <w:rPr>
          <w:rFonts w:ascii="Calibri" w:eastAsia="Times New Roman" w:hAnsi="Calibri" w:cs="Calibri"/>
          <w:color w:val="000000"/>
          <w:shd w:val="clear" w:color="auto" w:fill="FFFFFF"/>
        </w:rPr>
        <w:t>.</w:t>
      </w:r>
      <w:r w:rsidR="001D5A1A">
        <w:rPr>
          <w:rFonts w:ascii="Calibri" w:eastAsia="Times New Roman" w:hAnsi="Calibri" w:cs="Calibri"/>
          <w:color w:val="000000"/>
          <w:shd w:val="clear" w:color="auto" w:fill="FFFFFF"/>
        </w:rPr>
        <w:t xml:space="preserve">  </w:t>
      </w:r>
      <w:r>
        <w:rPr>
          <w:rFonts w:ascii="Calibri" w:eastAsia="Times New Roman" w:hAnsi="Calibri" w:cs="Calibri"/>
          <w:color w:val="000000"/>
          <w:shd w:val="clear" w:color="auto" w:fill="FFFFFF"/>
        </w:rPr>
        <w:t>Leverage/debt-financed income is considered UBTI to the fund.  UBTI is taxable at the US federal level at trust rates (top 37%), allocable and apportioned to states potentially resulting in state filing and tax obligations, and worst case excessive income from UBTI can result in the trust losing tax-exempt status.</w:t>
      </w:r>
    </w:p>
    <w:p w14:paraId="0EE6AC20" w14:textId="77777777" w:rsidR="001F3BBF" w:rsidRPr="000A6E9F" w:rsidRDefault="001F3BBF" w:rsidP="001F3BBF">
      <w:pPr>
        <w:spacing w:after="0" w:line="240" w:lineRule="auto"/>
        <w:rPr>
          <w:rFonts w:ascii="Calibri" w:eastAsia="Times New Roman" w:hAnsi="Calibri" w:cs="Calibri"/>
          <w:color w:val="000000"/>
        </w:rPr>
      </w:pPr>
    </w:p>
    <w:p w14:paraId="5E1FFA29" w14:textId="5D410D09" w:rsidR="00D5179B" w:rsidRDefault="001D5A1A" w:rsidP="000B6B3B">
      <w:pPr>
        <w:ind w:left="720" w:hanging="720"/>
        <w:jc w:val="both"/>
        <w:rPr>
          <w:rFonts w:ascii="Calibri" w:hAnsi="Calibri" w:cs="Calibri"/>
          <w:b/>
          <w:bCs/>
          <w:u w:val="single"/>
        </w:rPr>
      </w:pPr>
      <w:r w:rsidRPr="001D5A1A">
        <w:rPr>
          <w:rFonts w:ascii="Calibri" w:hAnsi="Calibri" w:cs="Calibri"/>
          <w:b/>
          <w:bCs/>
        </w:rPr>
        <w:t>K.</w:t>
      </w:r>
      <w:r w:rsidRPr="001D5A1A">
        <w:rPr>
          <w:rFonts w:ascii="Calibri" w:hAnsi="Calibri" w:cs="Calibri"/>
          <w:b/>
          <w:bCs/>
        </w:rPr>
        <w:tab/>
      </w:r>
      <w:r w:rsidR="00D5179B" w:rsidRPr="00D5179B">
        <w:rPr>
          <w:rFonts w:ascii="Calibri" w:hAnsi="Calibri" w:cs="Calibri"/>
          <w:b/>
          <w:bCs/>
          <w:u w:val="single"/>
        </w:rPr>
        <w:t xml:space="preserve">Interest rate changes in the period from January 2022 to December 2023 and their impact </w:t>
      </w:r>
      <w:r w:rsidR="00D5179B" w:rsidRPr="00235FF4">
        <w:rPr>
          <w:rFonts w:ascii="Calibri" w:hAnsi="Calibri" w:cs="Calibri"/>
          <w:b/>
          <w:bCs/>
          <w:u w:val="single"/>
        </w:rPr>
        <w:t>on the funding and accounting treatment of DB pension plans</w:t>
      </w:r>
    </w:p>
    <w:p w14:paraId="01180A91" w14:textId="390A4840" w:rsidR="001D5A1A" w:rsidRDefault="001D5A1A" w:rsidP="000B6B3B">
      <w:pPr>
        <w:ind w:left="720" w:hanging="720"/>
        <w:jc w:val="both"/>
        <w:rPr>
          <w:rFonts w:ascii="Calibri" w:hAnsi="Calibri" w:cs="Calibri"/>
        </w:rPr>
      </w:pPr>
      <w:r>
        <w:rPr>
          <w:rFonts w:ascii="Calibri" w:hAnsi="Calibri" w:cs="Calibri"/>
        </w:rPr>
        <w:t>1.</w:t>
      </w:r>
      <w:r>
        <w:rPr>
          <w:rFonts w:ascii="Calibri" w:hAnsi="Calibri" w:cs="Calibri"/>
        </w:rPr>
        <w:tab/>
      </w:r>
      <w:r w:rsidR="0093515C">
        <w:rPr>
          <w:rFonts w:ascii="Calibri" w:hAnsi="Calibri" w:cs="Calibri"/>
        </w:rPr>
        <w:t>Discount</w:t>
      </w:r>
      <w:r>
        <w:rPr>
          <w:rFonts w:ascii="Calibri" w:hAnsi="Calibri" w:cs="Calibri"/>
        </w:rPr>
        <w:t xml:space="preserve"> rates do not affect the amounts of retirement benefits payable in the future.  But they do affect the funding and accounting </w:t>
      </w:r>
      <w:r w:rsidR="00440B94">
        <w:rPr>
          <w:rFonts w:ascii="Calibri" w:hAnsi="Calibri" w:cs="Calibri"/>
        </w:rPr>
        <w:t>calculations</w:t>
      </w:r>
      <w:r>
        <w:rPr>
          <w:rFonts w:ascii="Calibri" w:hAnsi="Calibri" w:cs="Calibri"/>
        </w:rPr>
        <w:t>.</w:t>
      </w:r>
    </w:p>
    <w:p w14:paraId="332D98D0" w14:textId="5380EAC7" w:rsidR="00440B94" w:rsidRDefault="00440B94" w:rsidP="000B6B3B">
      <w:pPr>
        <w:ind w:left="720" w:hanging="720"/>
        <w:jc w:val="both"/>
        <w:rPr>
          <w:rFonts w:ascii="Calibri" w:hAnsi="Calibri" w:cs="Calibri"/>
        </w:rPr>
      </w:pPr>
      <w:r>
        <w:rPr>
          <w:rFonts w:ascii="Calibri" w:hAnsi="Calibri" w:cs="Calibri"/>
        </w:rPr>
        <w:t>2.</w:t>
      </w:r>
      <w:r>
        <w:rPr>
          <w:rFonts w:ascii="Calibri" w:hAnsi="Calibri" w:cs="Calibri"/>
        </w:rPr>
        <w:tab/>
        <w:t xml:space="preserve">Central banks lawfully rigged the interest market following the 2008 financial crisis to </w:t>
      </w:r>
      <w:r w:rsidR="0093515C">
        <w:rPr>
          <w:rFonts w:ascii="Calibri" w:hAnsi="Calibri" w:cs="Calibri"/>
        </w:rPr>
        <w:t xml:space="preserve">reduce </w:t>
      </w:r>
      <w:r>
        <w:rPr>
          <w:rFonts w:ascii="Calibri" w:hAnsi="Calibri" w:cs="Calibri"/>
        </w:rPr>
        <w:t>interest rates to historically low levels (there were even negative interest rates in the Eurozone).</w:t>
      </w:r>
    </w:p>
    <w:p w14:paraId="543D6783" w14:textId="11634872" w:rsidR="00840827" w:rsidRDefault="00440B94" w:rsidP="000B6B3B">
      <w:pPr>
        <w:ind w:left="720" w:hanging="720"/>
        <w:jc w:val="both"/>
        <w:rPr>
          <w:rFonts w:ascii="Calibri" w:hAnsi="Calibri" w:cs="Calibri"/>
        </w:rPr>
      </w:pPr>
      <w:r>
        <w:rPr>
          <w:rFonts w:ascii="Calibri" w:hAnsi="Calibri" w:cs="Calibri"/>
        </w:rPr>
        <w:t>3.</w:t>
      </w:r>
      <w:r>
        <w:rPr>
          <w:rFonts w:ascii="Calibri" w:hAnsi="Calibri" w:cs="Calibri"/>
        </w:rPr>
        <w:tab/>
        <w:t xml:space="preserve">Where the discount rate is derived from the yield on high quality bonds, </w:t>
      </w:r>
      <w:r w:rsidR="00840827">
        <w:rPr>
          <w:rFonts w:ascii="Calibri" w:hAnsi="Calibri" w:cs="Calibri"/>
        </w:rPr>
        <w:t>the present</w:t>
      </w:r>
      <w:r w:rsidR="002E13F8">
        <w:rPr>
          <w:rFonts w:ascii="Calibri" w:hAnsi="Calibri" w:cs="Calibri"/>
        </w:rPr>
        <w:t xml:space="preserve"> amount </w:t>
      </w:r>
      <w:r w:rsidR="0093515C">
        <w:rPr>
          <w:rFonts w:ascii="Calibri" w:hAnsi="Calibri" w:cs="Calibri"/>
        </w:rPr>
        <w:t xml:space="preserve">(technical provision) as at a valuation date of </w:t>
      </w:r>
      <w:r w:rsidR="002E13F8">
        <w:rPr>
          <w:rFonts w:ascii="Calibri" w:hAnsi="Calibri" w:cs="Calibri"/>
        </w:rPr>
        <w:t>future payment obligations is increased (with both a</w:t>
      </w:r>
      <w:r w:rsidR="00840827">
        <w:rPr>
          <w:rFonts w:ascii="Calibri" w:hAnsi="Calibri" w:cs="Calibri"/>
        </w:rPr>
        <w:t xml:space="preserve"> funding impact and accounting impact on the employer balance sheet)</w:t>
      </w:r>
      <w:r w:rsidR="0093515C">
        <w:rPr>
          <w:rFonts w:ascii="Calibri" w:hAnsi="Calibri" w:cs="Calibri"/>
        </w:rPr>
        <w:t xml:space="preserve"> unless a full LDI strategy is in place.</w:t>
      </w:r>
    </w:p>
    <w:p w14:paraId="15A9E94F" w14:textId="77777777" w:rsidR="002631D9" w:rsidRDefault="00840827" w:rsidP="000B6B3B">
      <w:pPr>
        <w:ind w:left="720" w:hanging="720"/>
        <w:jc w:val="both"/>
        <w:rPr>
          <w:rFonts w:ascii="Calibri" w:hAnsi="Calibri" w:cs="Calibri"/>
        </w:rPr>
      </w:pPr>
      <w:r>
        <w:rPr>
          <w:rFonts w:ascii="Calibri" w:hAnsi="Calibri" w:cs="Calibri"/>
        </w:rPr>
        <w:t>4.</w:t>
      </w:r>
      <w:r>
        <w:rPr>
          <w:rFonts w:ascii="Calibri" w:hAnsi="Calibri" w:cs="Calibri"/>
        </w:rPr>
        <w:tab/>
      </w:r>
      <w:r w:rsidRPr="0093515C">
        <w:rPr>
          <w:rFonts w:ascii="Calibri" w:hAnsi="Calibri" w:cs="Calibri"/>
          <w:b/>
          <w:bCs/>
        </w:rPr>
        <w:t>Table 2</w:t>
      </w:r>
      <w:r>
        <w:rPr>
          <w:rFonts w:ascii="Calibri" w:hAnsi="Calibri" w:cs="Calibri"/>
        </w:rPr>
        <w:t xml:space="preserve"> below shows the </w:t>
      </w:r>
      <w:r w:rsidR="002631D9">
        <w:rPr>
          <w:rFonts w:ascii="Calibri" w:hAnsi="Calibri" w:cs="Calibri"/>
        </w:rPr>
        <w:t>changes in the ten year government bond rate in the two year period from January 2022 to January 2024.</w:t>
      </w:r>
    </w:p>
    <w:p w14:paraId="3D6F84E7" w14:textId="3B3099C5" w:rsidR="00440B94" w:rsidRDefault="002631D9" w:rsidP="002631D9">
      <w:pPr>
        <w:ind w:left="720" w:hanging="720"/>
        <w:jc w:val="center"/>
        <w:rPr>
          <w:rFonts w:ascii="Calibri" w:hAnsi="Calibri" w:cs="Calibri"/>
        </w:rPr>
      </w:pPr>
      <w:r>
        <w:rPr>
          <w:rFonts w:ascii="Calibri" w:hAnsi="Calibri" w:cs="Calibri"/>
          <w:b/>
          <w:bCs/>
        </w:rPr>
        <w:t>Table 2</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50"/>
        <w:gridCol w:w="1984"/>
        <w:gridCol w:w="2268"/>
        <w:gridCol w:w="1843"/>
        <w:gridCol w:w="1701"/>
      </w:tblGrid>
      <w:tr w:rsidR="00D835CA" w:rsidRPr="0091006D" w14:paraId="3683AF30" w14:textId="77777777" w:rsidTr="00D44754">
        <w:trPr>
          <w:trHeight w:val="584"/>
        </w:trPr>
        <w:tc>
          <w:tcPr>
            <w:tcW w:w="1550" w:type="dxa"/>
            <w:shd w:val="clear" w:color="auto" w:fill="C1E4F5" w:themeFill="accent1" w:themeFillTint="33"/>
            <w:tcMar>
              <w:top w:w="72" w:type="dxa"/>
              <w:left w:w="144" w:type="dxa"/>
              <w:bottom w:w="72" w:type="dxa"/>
              <w:right w:w="144" w:type="dxa"/>
            </w:tcMar>
            <w:hideMark/>
          </w:tcPr>
          <w:p w14:paraId="0C035571" w14:textId="77777777" w:rsidR="0091006D" w:rsidRPr="0091006D" w:rsidRDefault="0091006D" w:rsidP="0091006D">
            <w:pPr>
              <w:ind w:left="720" w:hanging="720"/>
              <w:jc w:val="center"/>
              <w:rPr>
                <w:rFonts w:ascii="Calibri" w:hAnsi="Calibri" w:cs="Calibri"/>
              </w:rPr>
            </w:pPr>
            <w:r w:rsidRPr="0091006D">
              <w:rPr>
                <w:rFonts w:ascii="Calibri" w:hAnsi="Calibri" w:cs="Calibri"/>
                <w:b/>
                <w:bCs/>
              </w:rPr>
              <w:t>Country</w:t>
            </w:r>
          </w:p>
        </w:tc>
        <w:tc>
          <w:tcPr>
            <w:tcW w:w="1984" w:type="dxa"/>
            <w:shd w:val="clear" w:color="auto" w:fill="C1E4F5" w:themeFill="accent1" w:themeFillTint="33"/>
            <w:tcMar>
              <w:top w:w="72" w:type="dxa"/>
              <w:left w:w="144" w:type="dxa"/>
              <w:bottom w:w="72" w:type="dxa"/>
              <w:right w:w="144" w:type="dxa"/>
            </w:tcMar>
            <w:hideMark/>
          </w:tcPr>
          <w:p w14:paraId="76F19090" w14:textId="77777777" w:rsidR="0091006D" w:rsidRPr="0091006D" w:rsidRDefault="0091006D" w:rsidP="0091006D">
            <w:pPr>
              <w:ind w:left="720" w:hanging="720"/>
              <w:jc w:val="center"/>
              <w:rPr>
                <w:rFonts w:ascii="Calibri" w:hAnsi="Calibri" w:cs="Calibri"/>
              </w:rPr>
            </w:pPr>
            <w:r w:rsidRPr="0091006D">
              <w:rPr>
                <w:rFonts w:ascii="Calibri" w:hAnsi="Calibri" w:cs="Calibri"/>
                <w:b/>
                <w:bCs/>
              </w:rPr>
              <w:t>1</w:t>
            </w:r>
            <w:r w:rsidRPr="0091006D">
              <w:rPr>
                <w:rFonts w:ascii="Calibri" w:hAnsi="Calibri" w:cs="Calibri"/>
                <w:b/>
                <w:bCs/>
                <w:vertAlign w:val="superscript"/>
              </w:rPr>
              <w:t>st</w:t>
            </w:r>
            <w:r w:rsidRPr="0091006D">
              <w:rPr>
                <w:rFonts w:ascii="Calibri" w:hAnsi="Calibri" w:cs="Calibri"/>
                <w:b/>
                <w:bCs/>
              </w:rPr>
              <w:t xml:space="preserve"> January, 2022</w:t>
            </w:r>
          </w:p>
        </w:tc>
        <w:tc>
          <w:tcPr>
            <w:tcW w:w="2268" w:type="dxa"/>
            <w:shd w:val="clear" w:color="auto" w:fill="C1E4F5" w:themeFill="accent1" w:themeFillTint="33"/>
            <w:tcMar>
              <w:top w:w="72" w:type="dxa"/>
              <w:left w:w="144" w:type="dxa"/>
              <w:bottom w:w="72" w:type="dxa"/>
              <w:right w:w="144" w:type="dxa"/>
            </w:tcMar>
            <w:hideMark/>
          </w:tcPr>
          <w:p w14:paraId="2C43D8B7" w14:textId="77777777" w:rsidR="0091006D" w:rsidRPr="0091006D" w:rsidRDefault="0091006D" w:rsidP="0091006D">
            <w:pPr>
              <w:ind w:left="720" w:hanging="720"/>
              <w:jc w:val="center"/>
              <w:rPr>
                <w:rFonts w:ascii="Calibri" w:hAnsi="Calibri" w:cs="Calibri"/>
              </w:rPr>
            </w:pPr>
            <w:r w:rsidRPr="0091006D">
              <w:rPr>
                <w:rFonts w:ascii="Calibri" w:hAnsi="Calibri" w:cs="Calibri"/>
                <w:b/>
                <w:bCs/>
              </w:rPr>
              <w:t>1</w:t>
            </w:r>
            <w:r w:rsidRPr="0091006D">
              <w:rPr>
                <w:rFonts w:ascii="Calibri" w:hAnsi="Calibri" w:cs="Calibri"/>
                <w:b/>
                <w:bCs/>
                <w:vertAlign w:val="superscript"/>
              </w:rPr>
              <w:t>st</w:t>
            </w:r>
            <w:r w:rsidRPr="0091006D">
              <w:rPr>
                <w:rFonts w:ascii="Calibri" w:hAnsi="Calibri" w:cs="Calibri"/>
                <w:b/>
                <w:bCs/>
              </w:rPr>
              <w:t xml:space="preserve"> January, 2023</w:t>
            </w:r>
          </w:p>
        </w:tc>
        <w:tc>
          <w:tcPr>
            <w:tcW w:w="1843" w:type="dxa"/>
            <w:shd w:val="clear" w:color="auto" w:fill="C1E4F5" w:themeFill="accent1" w:themeFillTint="33"/>
            <w:tcMar>
              <w:top w:w="72" w:type="dxa"/>
              <w:left w:w="144" w:type="dxa"/>
              <w:bottom w:w="72" w:type="dxa"/>
              <w:right w:w="144" w:type="dxa"/>
            </w:tcMar>
            <w:hideMark/>
          </w:tcPr>
          <w:p w14:paraId="41DDB208" w14:textId="77777777" w:rsidR="0091006D" w:rsidRPr="0091006D" w:rsidRDefault="0091006D" w:rsidP="0091006D">
            <w:pPr>
              <w:ind w:left="720" w:hanging="720"/>
              <w:jc w:val="center"/>
              <w:rPr>
                <w:rFonts w:ascii="Calibri" w:hAnsi="Calibri" w:cs="Calibri"/>
              </w:rPr>
            </w:pPr>
            <w:r w:rsidRPr="0091006D">
              <w:rPr>
                <w:rFonts w:ascii="Calibri" w:hAnsi="Calibri" w:cs="Calibri"/>
                <w:b/>
                <w:bCs/>
              </w:rPr>
              <w:t>1</w:t>
            </w:r>
            <w:r w:rsidRPr="0091006D">
              <w:rPr>
                <w:rFonts w:ascii="Calibri" w:hAnsi="Calibri" w:cs="Calibri"/>
                <w:b/>
                <w:bCs/>
                <w:vertAlign w:val="superscript"/>
              </w:rPr>
              <w:t>st</w:t>
            </w:r>
            <w:r w:rsidRPr="0091006D">
              <w:rPr>
                <w:rFonts w:ascii="Calibri" w:hAnsi="Calibri" w:cs="Calibri"/>
                <w:b/>
                <w:bCs/>
              </w:rPr>
              <w:t xml:space="preserve"> January, 2024</w:t>
            </w:r>
          </w:p>
        </w:tc>
        <w:tc>
          <w:tcPr>
            <w:tcW w:w="1701" w:type="dxa"/>
            <w:shd w:val="clear" w:color="auto" w:fill="C1E4F5" w:themeFill="accent1" w:themeFillTint="33"/>
            <w:tcMar>
              <w:top w:w="72" w:type="dxa"/>
              <w:left w:w="144" w:type="dxa"/>
              <w:bottom w:w="72" w:type="dxa"/>
              <w:right w:w="144" w:type="dxa"/>
            </w:tcMar>
            <w:hideMark/>
          </w:tcPr>
          <w:p w14:paraId="7103B6AB" w14:textId="77777777" w:rsidR="0091006D" w:rsidRPr="0091006D" w:rsidRDefault="0091006D" w:rsidP="00D835CA">
            <w:pPr>
              <w:ind w:left="22" w:hanging="22"/>
              <w:jc w:val="both"/>
              <w:rPr>
                <w:rFonts w:ascii="Calibri" w:hAnsi="Calibri" w:cs="Calibri"/>
              </w:rPr>
            </w:pPr>
            <w:r w:rsidRPr="0091006D">
              <w:rPr>
                <w:rFonts w:ascii="Calibri" w:hAnsi="Calibri" w:cs="Calibri"/>
                <w:b/>
                <w:bCs/>
              </w:rPr>
              <w:t>Interest rate in Column 4 ÷ Interest rate in Column 2</w:t>
            </w:r>
          </w:p>
        </w:tc>
      </w:tr>
      <w:tr w:rsidR="00D835CA" w:rsidRPr="00D44754" w14:paraId="3BEC2A5B" w14:textId="77777777" w:rsidTr="00D44754">
        <w:trPr>
          <w:trHeight w:val="584"/>
        </w:trPr>
        <w:tc>
          <w:tcPr>
            <w:tcW w:w="1550" w:type="dxa"/>
            <w:shd w:val="clear" w:color="auto" w:fill="auto"/>
            <w:tcMar>
              <w:top w:w="72" w:type="dxa"/>
              <w:left w:w="144" w:type="dxa"/>
              <w:bottom w:w="72" w:type="dxa"/>
              <w:right w:w="144" w:type="dxa"/>
            </w:tcMar>
            <w:hideMark/>
          </w:tcPr>
          <w:p w14:paraId="74E4A205" w14:textId="77777777" w:rsidR="0091006D" w:rsidRPr="0091006D" w:rsidRDefault="0091006D" w:rsidP="0091006D">
            <w:pPr>
              <w:ind w:left="720" w:hanging="720"/>
              <w:jc w:val="center"/>
              <w:rPr>
                <w:rFonts w:ascii="Calibri" w:hAnsi="Calibri" w:cs="Calibri"/>
              </w:rPr>
            </w:pPr>
            <w:r w:rsidRPr="0091006D">
              <w:rPr>
                <w:rFonts w:ascii="Calibri" w:hAnsi="Calibri" w:cs="Calibri"/>
              </w:rPr>
              <w:t>Belgium</w:t>
            </w:r>
          </w:p>
        </w:tc>
        <w:tc>
          <w:tcPr>
            <w:tcW w:w="1984" w:type="dxa"/>
            <w:shd w:val="clear" w:color="auto" w:fill="auto"/>
            <w:tcMar>
              <w:top w:w="72" w:type="dxa"/>
              <w:left w:w="144" w:type="dxa"/>
              <w:bottom w:w="72" w:type="dxa"/>
              <w:right w:w="144" w:type="dxa"/>
            </w:tcMar>
            <w:hideMark/>
          </w:tcPr>
          <w:p w14:paraId="02289501" w14:textId="77777777" w:rsidR="0091006D" w:rsidRPr="0091006D" w:rsidRDefault="0091006D" w:rsidP="0091006D">
            <w:pPr>
              <w:ind w:left="720" w:hanging="720"/>
              <w:jc w:val="center"/>
              <w:rPr>
                <w:rFonts w:ascii="Calibri" w:hAnsi="Calibri" w:cs="Calibri"/>
              </w:rPr>
            </w:pPr>
            <w:r w:rsidRPr="0091006D">
              <w:rPr>
                <w:rFonts w:ascii="Calibri" w:hAnsi="Calibri" w:cs="Calibri"/>
              </w:rPr>
              <w:t>0.55%</w:t>
            </w:r>
          </w:p>
        </w:tc>
        <w:tc>
          <w:tcPr>
            <w:tcW w:w="2268" w:type="dxa"/>
            <w:shd w:val="clear" w:color="auto" w:fill="auto"/>
            <w:tcMar>
              <w:top w:w="72" w:type="dxa"/>
              <w:left w:w="144" w:type="dxa"/>
              <w:bottom w:w="72" w:type="dxa"/>
              <w:right w:w="144" w:type="dxa"/>
            </w:tcMar>
            <w:hideMark/>
          </w:tcPr>
          <w:p w14:paraId="69E8EC27" w14:textId="77777777" w:rsidR="0091006D" w:rsidRPr="0091006D" w:rsidRDefault="0091006D" w:rsidP="0091006D">
            <w:pPr>
              <w:ind w:left="720" w:hanging="720"/>
              <w:jc w:val="center"/>
              <w:rPr>
                <w:rFonts w:ascii="Calibri" w:hAnsi="Calibri" w:cs="Calibri"/>
              </w:rPr>
            </w:pPr>
            <w:r w:rsidRPr="0091006D">
              <w:rPr>
                <w:rFonts w:ascii="Calibri" w:hAnsi="Calibri" w:cs="Calibri"/>
              </w:rPr>
              <w:t>2.93%</w:t>
            </w:r>
          </w:p>
        </w:tc>
        <w:tc>
          <w:tcPr>
            <w:tcW w:w="1843" w:type="dxa"/>
            <w:shd w:val="clear" w:color="auto" w:fill="auto"/>
            <w:tcMar>
              <w:top w:w="72" w:type="dxa"/>
              <w:left w:w="144" w:type="dxa"/>
              <w:bottom w:w="72" w:type="dxa"/>
              <w:right w:w="144" w:type="dxa"/>
            </w:tcMar>
            <w:hideMark/>
          </w:tcPr>
          <w:p w14:paraId="27B87521" w14:textId="77777777" w:rsidR="0091006D" w:rsidRPr="0091006D" w:rsidRDefault="0091006D" w:rsidP="0091006D">
            <w:pPr>
              <w:ind w:left="720" w:hanging="720"/>
              <w:jc w:val="center"/>
              <w:rPr>
                <w:rFonts w:ascii="Calibri" w:hAnsi="Calibri" w:cs="Calibri"/>
              </w:rPr>
            </w:pPr>
            <w:r w:rsidRPr="0091006D">
              <w:rPr>
                <w:rFonts w:ascii="Calibri" w:hAnsi="Calibri" w:cs="Calibri"/>
              </w:rPr>
              <w:t>2.79%</w:t>
            </w:r>
          </w:p>
        </w:tc>
        <w:tc>
          <w:tcPr>
            <w:tcW w:w="1701" w:type="dxa"/>
            <w:shd w:val="clear" w:color="auto" w:fill="auto"/>
            <w:tcMar>
              <w:top w:w="72" w:type="dxa"/>
              <w:left w:w="144" w:type="dxa"/>
              <w:bottom w:w="72" w:type="dxa"/>
              <w:right w:w="144" w:type="dxa"/>
            </w:tcMar>
            <w:hideMark/>
          </w:tcPr>
          <w:p w14:paraId="6A723F1D" w14:textId="77777777" w:rsidR="0091006D" w:rsidRPr="0091006D" w:rsidRDefault="0091006D" w:rsidP="0091006D">
            <w:pPr>
              <w:ind w:left="720" w:hanging="720"/>
              <w:jc w:val="center"/>
              <w:rPr>
                <w:rFonts w:ascii="Calibri" w:hAnsi="Calibri" w:cs="Calibri"/>
              </w:rPr>
            </w:pPr>
            <w:r w:rsidRPr="0091006D">
              <w:rPr>
                <w:rFonts w:ascii="Calibri" w:hAnsi="Calibri" w:cs="Calibri"/>
                <w:highlight w:val="yellow"/>
              </w:rPr>
              <w:t>5.25</w:t>
            </w:r>
            <w:r w:rsidRPr="0091006D">
              <w:rPr>
                <w:rFonts w:ascii="Calibri" w:hAnsi="Calibri" w:cs="Calibri"/>
              </w:rPr>
              <w:t xml:space="preserve"> </w:t>
            </w:r>
          </w:p>
        </w:tc>
      </w:tr>
      <w:tr w:rsidR="00D835CA" w:rsidRPr="00D44754" w14:paraId="141D9A13" w14:textId="77777777" w:rsidTr="00D44754">
        <w:trPr>
          <w:trHeight w:val="584"/>
        </w:trPr>
        <w:tc>
          <w:tcPr>
            <w:tcW w:w="1550" w:type="dxa"/>
            <w:shd w:val="clear" w:color="auto" w:fill="auto"/>
            <w:tcMar>
              <w:top w:w="72" w:type="dxa"/>
              <w:left w:w="144" w:type="dxa"/>
              <w:bottom w:w="72" w:type="dxa"/>
              <w:right w:w="144" w:type="dxa"/>
            </w:tcMar>
            <w:hideMark/>
          </w:tcPr>
          <w:p w14:paraId="6E21B155" w14:textId="77777777" w:rsidR="0091006D" w:rsidRPr="0091006D" w:rsidRDefault="0091006D" w:rsidP="0091006D">
            <w:pPr>
              <w:ind w:left="720" w:hanging="720"/>
              <w:jc w:val="center"/>
              <w:rPr>
                <w:rFonts w:ascii="Calibri" w:hAnsi="Calibri" w:cs="Calibri"/>
              </w:rPr>
            </w:pPr>
            <w:r w:rsidRPr="0091006D">
              <w:rPr>
                <w:rFonts w:ascii="Calibri" w:hAnsi="Calibri" w:cs="Calibri"/>
              </w:rPr>
              <w:t>France</w:t>
            </w:r>
          </w:p>
        </w:tc>
        <w:tc>
          <w:tcPr>
            <w:tcW w:w="1984" w:type="dxa"/>
            <w:shd w:val="clear" w:color="auto" w:fill="auto"/>
            <w:tcMar>
              <w:top w:w="72" w:type="dxa"/>
              <w:left w:w="144" w:type="dxa"/>
              <w:bottom w:w="72" w:type="dxa"/>
              <w:right w:w="144" w:type="dxa"/>
            </w:tcMar>
            <w:hideMark/>
          </w:tcPr>
          <w:p w14:paraId="1D9D06A3" w14:textId="77777777" w:rsidR="0091006D" w:rsidRPr="0091006D" w:rsidRDefault="0091006D" w:rsidP="0091006D">
            <w:pPr>
              <w:ind w:left="720" w:hanging="720"/>
              <w:jc w:val="center"/>
              <w:rPr>
                <w:rFonts w:ascii="Calibri" w:hAnsi="Calibri" w:cs="Calibri"/>
              </w:rPr>
            </w:pPr>
            <w:r w:rsidRPr="0091006D">
              <w:rPr>
                <w:rFonts w:ascii="Calibri" w:hAnsi="Calibri" w:cs="Calibri"/>
              </w:rPr>
              <w:t>0.31%</w:t>
            </w:r>
          </w:p>
        </w:tc>
        <w:tc>
          <w:tcPr>
            <w:tcW w:w="2268" w:type="dxa"/>
            <w:shd w:val="clear" w:color="auto" w:fill="auto"/>
            <w:tcMar>
              <w:top w:w="72" w:type="dxa"/>
              <w:left w:w="144" w:type="dxa"/>
              <w:bottom w:w="72" w:type="dxa"/>
              <w:right w:w="144" w:type="dxa"/>
            </w:tcMar>
            <w:hideMark/>
          </w:tcPr>
          <w:p w14:paraId="2C145F54" w14:textId="77777777" w:rsidR="0091006D" w:rsidRPr="0091006D" w:rsidRDefault="0091006D" w:rsidP="0091006D">
            <w:pPr>
              <w:ind w:left="720" w:hanging="720"/>
              <w:jc w:val="center"/>
              <w:rPr>
                <w:rFonts w:ascii="Calibri" w:hAnsi="Calibri" w:cs="Calibri"/>
              </w:rPr>
            </w:pPr>
            <w:r w:rsidRPr="0091006D">
              <w:rPr>
                <w:rFonts w:ascii="Calibri" w:hAnsi="Calibri" w:cs="Calibri"/>
              </w:rPr>
              <w:t>2.69%</w:t>
            </w:r>
          </w:p>
        </w:tc>
        <w:tc>
          <w:tcPr>
            <w:tcW w:w="1843" w:type="dxa"/>
            <w:shd w:val="clear" w:color="auto" w:fill="auto"/>
            <w:tcMar>
              <w:top w:w="72" w:type="dxa"/>
              <w:left w:w="144" w:type="dxa"/>
              <w:bottom w:w="72" w:type="dxa"/>
              <w:right w:w="144" w:type="dxa"/>
            </w:tcMar>
            <w:hideMark/>
          </w:tcPr>
          <w:p w14:paraId="2499D144" w14:textId="77777777" w:rsidR="0091006D" w:rsidRPr="0091006D" w:rsidRDefault="0091006D" w:rsidP="0091006D">
            <w:pPr>
              <w:ind w:left="720" w:hanging="720"/>
              <w:jc w:val="center"/>
              <w:rPr>
                <w:rFonts w:ascii="Calibri" w:hAnsi="Calibri" w:cs="Calibri"/>
              </w:rPr>
            </w:pPr>
            <w:r w:rsidRPr="0091006D">
              <w:rPr>
                <w:rFonts w:ascii="Calibri" w:hAnsi="Calibri" w:cs="Calibri"/>
              </w:rPr>
              <w:t>2.74%</w:t>
            </w:r>
          </w:p>
        </w:tc>
        <w:tc>
          <w:tcPr>
            <w:tcW w:w="1701" w:type="dxa"/>
            <w:shd w:val="clear" w:color="auto" w:fill="auto"/>
            <w:tcMar>
              <w:top w:w="72" w:type="dxa"/>
              <w:left w:w="144" w:type="dxa"/>
              <w:bottom w:w="72" w:type="dxa"/>
              <w:right w:w="144" w:type="dxa"/>
            </w:tcMar>
            <w:hideMark/>
          </w:tcPr>
          <w:p w14:paraId="3BFDD693" w14:textId="77777777" w:rsidR="0091006D" w:rsidRPr="0091006D" w:rsidRDefault="0091006D" w:rsidP="0091006D">
            <w:pPr>
              <w:ind w:left="720" w:hanging="720"/>
              <w:jc w:val="center"/>
              <w:rPr>
                <w:rFonts w:ascii="Calibri" w:hAnsi="Calibri" w:cs="Calibri"/>
              </w:rPr>
            </w:pPr>
            <w:r w:rsidRPr="0091006D">
              <w:rPr>
                <w:rFonts w:ascii="Calibri" w:hAnsi="Calibri" w:cs="Calibri"/>
                <w:highlight w:val="cyan"/>
              </w:rPr>
              <w:t>8.84</w:t>
            </w:r>
          </w:p>
        </w:tc>
      </w:tr>
      <w:tr w:rsidR="00D835CA" w:rsidRPr="00D44754" w14:paraId="2AB82AA5" w14:textId="77777777" w:rsidTr="00D44754">
        <w:trPr>
          <w:trHeight w:val="584"/>
        </w:trPr>
        <w:tc>
          <w:tcPr>
            <w:tcW w:w="1550" w:type="dxa"/>
            <w:shd w:val="clear" w:color="auto" w:fill="auto"/>
            <w:tcMar>
              <w:top w:w="72" w:type="dxa"/>
              <w:left w:w="144" w:type="dxa"/>
              <w:bottom w:w="72" w:type="dxa"/>
              <w:right w:w="144" w:type="dxa"/>
            </w:tcMar>
            <w:hideMark/>
          </w:tcPr>
          <w:p w14:paraId="4EAC881E" w14:textId="77777777" w:rsidR="0091006D" w:rsidRPr="0091006D" w:rsidRDefault="0091006D" w:rsidP="0091006D">
            <w:pPr>
              <w:ind w:left="720" w:hanging="720"/>
              <w:jc w:val="center"/>
              <w:rPr>
                <w:rFonts w:ascii="Calibri" w:hAnsi="Calibri" w:cs="Calibri"/>
              </w:rPr>
            </w:pPr>
            <w:r w:rsidRPr="0091006D">
              <w:rPr>
                <w:rFonts w:ascii="Calibri" w:hAnsi="Calibri" w:cs="Calibri"/>
              </w:rPr>
              <w:t>UK</w:t>
            </w:r>
          </w:p>
        </w:tc>
        <w:tc>
          <w:tcPr>
            <w:tcW w:w="1984" w:type="dxa"/>
            <w:shd w:val="clear" w:color="auto" w:fill="auto"/>
            <w:tcMar>
              <w:top w:w="72" w:type="dxa"/>
              <w:left w:w="144" w:type="dxa"/>
              <w:bottom w:w="72" w:type="dxa"/>
              <w:right w:w="144" w:type="dxa"/>
            </w:tcMar>
            <w:hideMark/>
          </w:tcPr>
          <w:p w14:paraId="4BEED019" w14:textId="77777777" w:rsidR="0091006D" w:rsidRPr="0091006D" w:rsidRDefault="0091006D" w:rsidP="0091006D">
            <w:pPr>
              <w:ind w:left="720" w:hanging="720"/>
              <w:jc w:val="center"/>
              <w:rPr>
                <w:rFonts w:ascii="Calibri" w:hAnsi="Calibri" w:cs="Calibri"/>
              </w:rPr>
            </w:pPr>
            <w:r w:rsidRPr="0091006D">
              <w:rPr>
                <w:rFonts w:ascii="Calibri" w:hAnsi="Calibri" w:cs="Calibri"/>
              </w:rPr>
              <w:t>1.20%</w:t>
            </w:r>
          </w:p>
        </w:tc>
        <w:tc>
          <w:tcPr>
            <w:tcW w:w="2268" w:type="dxa"/>
            <w:shd w:val="clear" w:color="auto" w:fill="auto"/>
            <w:tcMar>
              <w:top w:w="72" w:type="dxa"/>
              <w:left w:w="144" w:type="dxa"/>
              <w:bottom w:w="72" w:type="dxa"/>
              <w:right w:w="144" w:type="dxa"/>
            </w:tcMar>
            <w:hideMark/>
          </w:tcPr>
          <w:p w14:paraId="23B229D2" w14:textId="77777777" w:rsidR="0091006D" w:rsidRPr="0091006D" w:rsidRDefault="0091006D" w:rsidP="0091006D">
            <w:pPr>
              <w:ind w:left="720" w:hanging="720"/>
              <w:jc w:val="center"/>
              <w:rPr>
                <w:rFonts w:ascii="Calibri" w:hAnsi="Calibri" w:cs="Calibri"/>
              </w:rPr>
            </w:pPr>
            <w:r w:rsidRPr="0091006D">
              <w:rPr>
                <w:rFonts w:ascii="Calibri" w:hAnsi="Calibri" w:cs="Calibri"/>
              </w:rPr>
              <w:t>3.51%</w:t>
            </w:r>
          </w:p>
        </w:tc>
        <w:tc>
          <w:tcPr>
            <w:tcW w:w="1843" w:type="dxa"/>
            <w:shd w:val="clear" w:color="auto" w:fill="auto"/>
            <w:tcMar>
              <w:top w:w="72" w:type="dxa"/>
              <w:left w:w="144" w:type="dxa"/>
              <w:bottom w:w="72" w:type="dxa"/>
              <w:right w:w="144" w:type="dxa"/>
            </w:tcMar>
            <w:hideMark/>
          </w:tcPr>
          <w:p w14:paraId="04FB35DC" w14:textId="77777777" w:rsidR="0091006D" w:rsidRPr="0091006D" w:rsidRDefault="0091006D" w:rsidP="0091006D">
            <w:pPr>
              <w:ind w:left="720" w:hanging="720"/>
              <w:jc w:val="center"/>
              <w:rPr>
                <w:rFonts w:ascii="Calibri" w:hAnsi="Calibri" w:cs="Calibri"/>
              </w:rPr>
            </w:pPr>
            <w:r w:rsidRPr="0091006D">
              <w:rPr>
                <w:rFonts w:ascii="Calibri" w:hAnsi="Calibri" w:cs="Calibri"/>
              </w:rPr>
              <w:t>3.93%</w:t>
            </w:r>
          </w:p>
        </w:tc>
        <w:tc>
          <w:tcPr>
            <w:tcW w:w="1701" w:type="dxa"/>
            <w:shd w:val="clear" w:color="auto" w:fill="auto"/>
            <w:tcMar>
              <w:top w:w="72" w:type="dxa"/>
              <w:left w:w="144" w:type="dxa"/>
              <w:bottom w:w="72" w:type="dxa"/>
              <w:right w:w="144" w:type="dxa"/>
            </w:tcMar>
            <w:hideMark/>
          </w:tcPr>
          <w:p w14:paraId="344DE0DC" w14:textId="77777777" w:rsidR="0091006D" w:rsidRPr="0091006D" w:rsidRDefault="0091006D" w:rsidP="0091006D">
            <w:pPr>
              <w:ind w:left="720" w:hanging="720"/>
              <w:jc w:val="center"/>
              <w:rPr>
                <w:rFonts w:ascii="Calibri" w:hAnsi="Calibri" w:cs="Calibri"/>
              </w:rPr>
            </w:pPr>
            <w:r w:rsidRPr="0091006D">
              <w:rPr>
                <w:rFonts w:ascii="Calibri" w:hAnsi="Calibri" w:cs="Calibri"/>
                <w:highlight w:val="yellow"/>
              </w:rPr>
              <w:t>3.28</w:t>
            </w:r>
          </w:p>
        </w:tc>
      </w:tr>
      <w:tr w:rsidR="00D835CA" w:rsidRPr="0091006D" w14:paraId="1872B186" w14:textId="77777777" w:rsidTr="00D44754">
        <w:trPr>
          <w:trHeight w:val="584"/>
        </w:trPr>
        <w:tc>
          <w:tcPr>
            <w:tcW w:w="1550" w:type="dxa"/>
            <w:shd w:val="clear" w:color="auto" w:fill="auto"/>
            <w:tcMar>
              <w:top w:w="72" w:type="dxa"/>
              <w:left w:w="144" w:type="dxa"/>
              <w:bottom w:w="72" w:type="dxa"/>
              <w:right w:w="144" w:type="dxa"/>
            </w:tcMar>
            <w:hideMark/>
          </w:tcPr>
          <w:p w14:paraId="7648C3CB" w14:textId="77777777" w:rsidR="0091006D" w:rsidRPr="0091006D" w:rsidRDefault="0091006D" w:rsidP="0091006D">
            <w:pPr>
              <w:ind w:left="720" w:hanging="720"/>
              <w:jc w:val="center"/>
              <w:rPr>
                <w:rFonts w:ascii="Calibri" w:hAnsi="Calibri" w:cs="Calibri"/>
              </w:rPr>
            </w:pPr>
            <w:r w:rsidRPr="0091006D">
              <w:rPr>
                <w:rFonts w:ascii="Calibri" w:hAnsi="Calibri" w:cs="Calibri"/>
              </w:rPr>
              <w:t>USA</w:t>
            </w:r>
          </w:p>
        </w:tc>
        <w:tc>
          <w:tcPr>
            <w:tcW w:w="1984" w:type="dxa"/>
            <w:shd w:val="clear" w:color="auto" w:fill="auto"/>
            <w:tcMar>
              <w:top w:w="72" w:type="dxa"/>
              <w:left w:w="144" w:type="dxa"/>
              <w:bottom w:w="72" w:type="dxa"/>
              <w:right w:w="144" w:type="dxa"/>
            </w:tcMar>
            <w:hideMark/>
          </w:tcPr>
          <w:p w14:paraId="608C4A5D" w14:textId="77777777" w:rsidR="0091006D" w:rsidRPr="0091006D" w:rsidRDefault="0091006D" w:rsidP="0091006D">
            <w:pPr>
              <w:ind w:left="720" w:hanging="720"/>
              <w:jc w:val="center"/>
              <w:rPr>
                <w:rFonts w:ascii="Calibri" w:hAnsi="Calibri" w:cs="Calibri"/>
              </w:rPr>
            </w:pPr>
            <w:r w:rsidRPr="0091006D">
              <w:rPr>
                <w:rFonts w:ascii="Calibri" w:hAnsi="Calibri" w:cs="Calibri"/>
              </w:rPr>
              <w:t>1.76%</w:t>
            </w:r>
          </w:p>
        </w:tc>
        <w:tc>
          <w:tcPr>
            <w:tcW w:w="2268" w:type="dxa"/>
            <w:shd w:val="clear" w:color="auto" w:fill="auto"/>
            <w:tcMar>
              <w:top w:w="72" w:type="dxa"/>
              <w:left w:w="144" w:type="dxa"/>
              <w:bottom w:w="72" w:type="dxa"/>
              <w:right w:w="144" w:type="dxa"/>
            </w:tcMar>
            <w:hideMark/>
          </w:tcPr>
          <w:p w14:paraId="010DC94D" w14:textId="77777777" w:rsidR="0091006D" w:rsidRPr="0091006D" w:rsidRDefault="0091006D" w:rsidP="0091006D">
            <w:pPr>
              <w:ind w:left="720" w:hanging="720"/>
              <w:jc w:val="center"/>
              <w:rPr>
                <w:rFonts w:ascii="Calibri" w:hAnsi="Calibri" w:cs="Calibri"/>
              </w:rPr>
            </w:pPr>
            <w:r w:rsidRPr="0091006D">
              <w:rPr>
                <w:rFonts w:ascii="Calibri" w:hAnsi="Calibri" w:cs="Calibri"/>
              </w:rPr>
              <w:t>3.53%</w:t>
            </w:r>
          </w:p>
        </w:tc>
        <w:tc>
          <w:tcPr>
            <w:tcW w:w="1843" w:type="dxa"/>
            <w:shd w:val="clear" w:color="auto" w:fill="auto"/>
            <w:tcMar>
              <w:top w:w="72" w:type="dxa"/>
              <w:left w:w="144" w:type="dxa"/>
              <w:bottom w:w="72" w:type="dxa"/>
              <w:right w:w="144" w:type="dxa"/>
            </w:tcMar>
            <w:hideMark/>
          </w:tcPr>
          <w:p w14:paraId="08F03796" w14:textId="77777777" w:rsidR="0091006D" w:rsidRPr="0091006D" w:rsidRDefault="0091006D" w:rsidP="0091006D">
            <w:pPr>
              <w:ind w:left="720" w:hanging="720"/>
              <w:jc w:val="center"/>
              <w:rPr>
                <w:rFonts w:ascii="Calibri" w:hAnsi="Calibri" w:cs="Calibri"/>
              </w:rPr>
            </w:pPr>
            <w:r w:rsidRPr="0091006D">
              <w:rPr>
                <w:rFonts w:ascii="Calibri" w:hAnsi="Calibri" w:cs="Calibri"/>
              </w:rPr>
              <w:t>4.06%</w:t>
            </w:r>
          </w:p>
        </w:tc>
        <w:tc>
          <w:tcPr>
            <w:tcW w:w="1701" w:type="dxa"/>
            <w:shd w:val="clear" w:color="auto" w:fill="auto"/>
            <w:tcMar>
              <w:top w:w="72" w:type="dxa"/>
              <w:left w:w="144" w:type="dxa"/>
              <w:bottom w:w="72" w:type="dxa"/>
              <w:right w:w="144" w:type="dxa"/>
            </w:tcMar>
            <w:hideMark/>
          </w:tcPr>
          <w:p w14:paraId="02913A35" w14:textId="77777777" w:rsidR="0091006D" w:rsidRPr="0091006D" w:rsidRDefault="0091006D" w:rsidP="0091006D">
            <w:pPr>
              <w:ind w:left="720" w:hanging="720"/>
              <w:jc w:val="center"/>
              <w:rPr>
                <w:rFonts w:ascii="Calibri" w:hAnsi="Calibri" w:cs="Calibri"/>
              </w:rPr>
            </w:pPr>
            <w:r w:rsidRPr="0091006D">
              <w:rPr>
                <w:rFonts w:ascii="Calibri" w:hAnsi="Calibri" w:cs="Calibri"/>
                <w:highlight w:val="cyan"/>
              </w:rPr>
              <w:t>2.3</w:t>
            </w:r>
          </w:p>
        </w:tc>
      </w:tr>
    </w:tbl>
    <w:p w14:paraId="43539B7D" w14:textId="77777777" w:rsidR="002631D9" w:rsidRDefault="002631D9" w:rsidP="002631D9">
      <w:pPr>
        <w:ind w:left="720" w:hanging="720"/>
        <w:jc w:val="center"/>
        <w:rPr>
          <w:rFonts w:ascii="Calibri" w:hAnsi="Calibri" w:cs="Calibri"/>
        </w:rPr>
      </w:pPr>
    </w:p>
    <w:p w14:paraId="37FC88E7" w14:textId="44B6916A" w:rsidR="00E92C82" w:rsidRDefault="00E92C82" w:rsidP="00E92C82">
      <w:pPr>
        <w:ind w:left="720" w:hanging="720"/>
        <w:jc w:val="both"/>
        <w:rPr>
          <w:rFonts w:ascii="Calibri" w:hAnsi="Calibri" w:cs="Calibri"/>
        </w:rPr>
      </w:pPr>
      <w:r>
        <w:rPr>
          <w:rFonts w:ascii="Calibri" w:hAnsi="Calibri" w:cs="Calibri"/>
        </w:rPr>
        <w:t>5.</w:t>
      </w:r>
      <w:r>
        <w:rPr>
          <w:rFonts w:ascii="Calibri" w:hAnsi="Calibri" w:cs="Calibri"/>
        </w:rPr>
        <w:tab/>
      </w:r>
      <w:r w:rsidR="0093515C">
        <w:rPr>
          <w:rFonts w:ascii="Calibri" w:hAnsi="Calibri" w:cs="Calibri"/>
        </w:rPr>
        <w:t>If no, or a limited amount of, LDI</w:t>
      </w:r>
      <w:r w:rsidR="00402A99">
        <w:rPr>
          <w:rFonts w:ascii="Calibri" w:hAnsi="Calibri" w:cs="Calibri"/>
        </w:rPr>
        <w:t xml:space="preserve"> was applied in relation to a pension plan, these dramatic increases in interest rates </w:t>
      </w:r>
      <w:r w:rsidR="00E04BA3">
        <w:rPr>
          <w:rFonts w:ascii="Calibri" w:hAnsi="Calibri" w:cs="Calibri"/>
        </w:rPr>
        <w:t>have led to a massive improvement in the funding of many DB pension plans.</w:t>
      </w:r>
    </w:p>
    <w:p w14:paraId="302BC65D" w14:textId="45BD072C" w:rsidR="00E04BA3" w:rsidRDefault="00E04BA3" w:rsidP="00E92C82">
      <w:pPr>
        <w:ind w:left="720" w:hanging="720"/>
        <w:jc w:val="both"/>
        <w:rPr>
          <w:rFonts w:ascii="Calibri" w:hAnsi="Calibri" w:cs="Calibri"/>
        </w:rPr>
      </w:pPr>
      <w:r>
        <w:rPr>
          <w:rFonts w:ascii="Calibri" w:hAnsi="Calibri" w:cs="Calibri"/>
        </w:rPr>
        <w:t>6.</w:t>
      </w:r>
      <w:r>
        <w:rPr>
          <w:rFonts w:ascii="Calibri" w:hAnsi="Calibri" w:cs="Calibri"/>
        </w:rPr>
        <w:tab/>
      </w:r>
      <w:r w:rsidR="00A0397D">
        <w:rPr>
          <w:rFonts w:ascii="Calibri" w:hAnsi="Calibri" w:cs="Calibri"/>
        </w:rPr>
        <w:t xml:space="preserve">However, in some cases surpluses </w:t>
      </w:r>
      <w:r>
        <w:rPr>
          <w:rFonts w:ascii="Calibri" w:hAnsi="Calibri" w:cs="Calibri"/>
        </w:rPr>
        <w:t xml:space="preserve">have been replaced by deficits </w:t>
      </w:r>
      <w:r w:rsidR="00413BB8">
        <w:rPr>
          <w:rFonts w:ascii="Calibri" w:hAnsi="Calibri" w:cs="Calibri"/>
        </w:rPr>
        <w:t>(</w:t>
      </w:r>
      <w:r>
        <w:rPr>
          <w:rFonts w:ascii="Calibri" w:hAnsi="Calibri" w:cs="Calibri"/>
        </w:rPr>
        <w:t xml:space="preserve">even if asset values </w:t>
      </w:r>
      <w:r w:rsidR="000C4937">
        <w:rPr>
          <w:rFonts w:ascii="Calibri" w:hAnsi="Calibri" w:cs="Calibri"/>
        </w:rPr>
        <w:t>may be down substantially</w:t>
      </w:r>
      <w:r w:rsidR="00413BB8">
        <w:rPr>
          <w:rFonts w:ascii="Calibri" w:hAnsi="Calibri" w:cs="Calibri"/>
        </w:rPr>
        <w:t>)</w:t>
      </w:r>
      <w:r w:rsidR="000C4937">
        <w:rPr>
          <w:rFonts w:ascii="Calibri" w:hAnsi="Calibri" w:cs="Calibri"/>
        </w:rPr>
        <w:t>.</w:t>
      </w:r>
    </w:p>
    <w:p w14:paraId="4F5F7CE1" w14:textId="5A178276" w:rsidR="00413BB8" w:rsidRPr="0093515C" w:rsidRDefault="00413BB8" w:rsidP="00E92C82">
      <w:pPr>
        <w:ind w:left="720" w:hanging="720"/>
        <w:jc w:val="both"/>
        <w:rPr>
          <w:rFonts w:ascii="Calibri" w:hAnsi="Calibri" w:cs="Calibri"/>
        </w:rPr>
      </w:pPr>
      <w:r>
        <w:rPr>
          <w:rFonts w:ascii="Calibri" w:hAnsi="Calibri" w:cs="Calibri"/>
        </w:rPr>
        <w:lastRenderedPageBreak/>
        <w:t>7.</w:t>
      </w:r>
      <w:r>
        <w:rPr>
          <w:rFonts w:ascii="Calibri" w:hAnsi="Calibri" w:cs="Calibri"/>
        </w:rPr>
        <w:tab/>
        <w:t xml:space="preserve">But some pension plans in the UK using LLDI ended up on the wrong side of a long/short carry trade </w:t>
      </w:r>
      <w:r w:rsidR="0093515C">
        <w:rPr>
          <w:rFonts w:ascii="Calibri" w:hAnsi="Calibri" w:cs="Calibri"/>
        </w:rPr>
        <w:t xml:space="preserve">with value destroying effects as noted in the paper at </w:t>
      </w:r>
      <w:r w:rsidR="004810D3">
        <w:rPr>
          <w:rFonts w:ascii="Calibri" w:hAnsi="Calibri" w:cs="Calibri"/>
          <w:b/>
          <w:bCs/>
        </w:rPr>
        <w:t xml:space="preserve">I4 </w:t>
      </w:r>
      <w:r w:rsidR="0093515C">
        <w:rPr>
          <w:rFonts w:ascii="Calibri" w:hAnsi="Calibri" w:cs="Calibri"/>
        </w:rPr>
        <w:t>above.</w:t>
      </w:r>
    </w:p>
    <w:p w14:paraId="16B6A4C9" w14:textId="77777777" w:rsidR="00E11FF1" w:rsidRDefault="006454F2" w:rsidP="00037CEE">
      <w:pPr>
        <w:ind w:left="720" w:hanging="720"/>
        <w:jc w:val="both"/>
        <w:rPr>
          <w:rFonts w:ascii="Calibri" w:hAnsi="Calibri" w:cs="Calibri"/>
        </w:rPr>
      </w:pPr>
      <w:r>
        <w:rPr>
          <w:rFonts w:ascii="Calibri" w:hAnsi="Calibri" w:cs="Calibri"/>
        </w:rPr>
        <w:t>8.</w:t>
      </w:r>
      <w:r>
        <w:rPr>
          <w:rFonts w:ascii="Calibri" w:hAnsi="Calibri" w:cs="Calibri"/>
        </w:rPr>
        <w:tab/>
        <w:t xml:space="preserve">Where there are these surpluses in DB plans, these are leading to a substantial increase in </w:t>
      </w:r>
      <w:proofErr w:type="spellStart"/>
      <w:r>
        <w:rPr>
          <w:rFonts w:ascii="Calibri" w:hAnsi="Calibri" w:cs="Calibri"/>
        </w:rPr>
        <w:t>derisking</w:t>
      </w:r>
      <w:proofErr w:type="spellEnd"/>
      <w:r>
        <w:rPr>
          <w:rFonts w:ascii="Calibri" w:hAnsi="Calibri" w:cs="Calibri"/>
        </w:rPr>
        <w:t>/LD</w:t>
      </w:r>
      <w:r w:rsidR="0093515C">
        <w:rPr>
          <w:rFonts w:ascii="Calibri" w:hAnsi="Calibri" w:cs="Calibri"/>
        </w:rPr>
        <w:t>I/</w:t>
      </w:r>
      <w:r>
        <w:rPr>
          <w:rFonts w:ascii="Calibri" w:hAnsi="Calibri" w:cs="Calibri"/>
        </w:rPr>
        <w:t>buy</w:t>
      </w:r>
      <w:r w:rsidR="000C18E5">
        <w:rPr>
          <w:rFonts w:ascii="Calibri" w:hAnsi="Calibri" w:cs="Calibri"/>
        </w:rPr>
        <w:t xml:space="preserve"> in or planned termination and buy-out of DB benefits with insurance companies.</w:t>
      </w:r>
    </w:p>
    <w:p w14:paraId="53E429E0" w14:textId="77777777" w:rsidR="00783CED" w:rsidRDefault="00783CED" w:rsidP="00037CEE">
      <w:pPr>
        <w:ind w:left="720" w:hanging="720"/>
        <w:jc w:val="both"/>
        <w:rPr>
          <w:rFonts w:ascii="Calibri" w:hAnsi="Calibri" w:cs="Calibri"/>
        </w:rPr>
      </w:pPr>
    </w:p>
    <w:p w14:paraId="35A79C7C" w14:textId="77777777" w:rsidR="004810D3" w:rsidRDefault="004810D3" w:rsidP="00037CEE">
      <w:pPr>
        <w:ind w:left="720" w:hanging="720"/>
        <w:jc w:val="both"/>
        <w:rPr>
          <w:rFonts w:ascii="Calibri" w:hAnsi="Calibri" w:cs="Calibri"/>
        </w:rPr>
      </w:pPr>
    </w:p>
    <w:p w14:paraId="467C5CCF" w14:textId="77777777" w:rsidR="00783CED" w:rsidRDefault="00783CED" w:rsidP="00037CEE">
      <w:pPr>
        <w:ind w:left="720" w:hanging="720"/>
        <w:jc w:val="both"/>
        <w:rPr>
          <w:rFonts w:ascii="Calibri" w:hAnsi="Calibri" w:cs="Calibri"/>
        </w:rPr>
      </w:pPr>
    </w:p>
    <w:p w14:paraId="397B61BD" w14:textId="3DBA5319" w:rsidR="00783CED" w:rsidRDefault="00783CED" w:rsidP="00783CED">
      <w:pPr>
        <w:ind w:left="720" w:hanging="720"/>
        <w:jc w:val="both"/>
        <w:rPr>
          <w:rFonts w:ascii="Calibri" w:hAnsi="Calibri" w:cs="Calibri"/>
          <w:b/>
          <w:bCs/>
          <w:u w:val="single"/>
        </w:rPr>
      </w:pPr>
      <w:r>
        <w:rPr>
          <w:rFonts w:ascii="Calibri" w:hAnsi="Calibri" w:cs="Calibri"/>
          <w:b/>
          <w:bCs/>
        </w:rPr>
        <w:t>L</w:t>
      </w:r>
      <w:r w:rsidRPr="001D5A1A">
        <w:rPr>
          <w:rFonts w:ascii="Calibri" w:hAnsi="Calibri" w:cs="Calibri"/>
          <w:b/>
          <w:bCs/>
        </w:rPr>
        <w:t>.</w:t>
      </w:r>
      <w:r w:rsidRPr="001D5A1A">
        <w:rPr>
          <w:rFonts w:ascii="Calibri" w:hAnsi="Calibri" w:cs="Calibri"/>
          <w:b/>
          <w:bCs/>
        </w:rPr>
        <w:tab/>
      </w:r>
      <w:r>
        <w:rPr>
          <w:rFonts w:ascii="Calibri" w:hAnsi="Calibri" w:cs="Calibri"/>
          <w:b/>
          <w:bCs/>
          <w:u w:val="single"/>
        </w:rPr>
        <w:t>But a pay-as-you -go  retirement  benefit system avoids these issues</w:t>
      </w:r>
    </w:p>
    <w:p w14:paraId="2CBD2950" w14:textId="7D140FD6" w:rsidR="00783CED" w:rsidRDefault="00783CED" w:rsidP="00037CEE">
      <w:pPr>
        <w:ind w:left="720" w:hanging="720"/>
        <w:jc w:val="both"/>
        <w:rPr>
          <w:rFonts w:ascii="Calibri" w:hAnsi="Calibri" w:cs="Calibri"/>
        </w:rPr>
      </w:pPr>
      <w:r>
        <w:rPr>
          <w:rFonts w:ascii="Calibri" w:hAnsi="Calibri" w:cs="Calibri"/>
        </w:rPr>
        <w:t>1.</w:t>
      </w:r>
      <w:r>
        <w:rPr>
          <w:rFonts w:ascii="Calibri" w:hAnsi="Calibri" w:cs="Calibri"/>
        </w:rPr>
        <w:tab/>
        <w:t xml:space="preserve">In contrast, a </w:t>
      </w:r>
      <w:r w:rsidRPr="00783CED">
        <w:rPr>
          <w:rFonts w:ascii="Calibri" w:hAnsi="Calibri" w:cs="Calibri"/>
        </w:rPr>
        <w:t>pay-as-you -go  retirement  benefit system</w:t>
      </w:r>
      <w:r>
        <w:rPr>
          <w:rFonts w:ascii="Calibri" w:hAnsi="Calibri" w:cs="Calibri"/>
        </w:rPr>
        <w:t xml:space="preserve"> avoids the accounting, funding and investment issues outlined above while providing a DB form of retirement benefit.</w:t>
      </w:r>
    </w:p>
    <w:p w14:paraId="61A9757C" w14:textId="64719E31" w:rsidR="00783CED" w:rsidRDefault="00783CED" w:rsidP="00037CEE">
      <w:pPr>
        <w:ind w:left="720" w:hanging="720"/>
        <w:jc w:val="both"/>
        <w:rPr>
          <w:rFonts w:ascii="Calibri" w:hAnsi="Calibri" w:cs="Calibri"/>
        </w:rPr>
      </w:pPr>
      <w:r>
        <w:rPr>
          <w:rFonts w:ascii="Calibri" w:hAnsi="Calibri" w:cs="Calibri"/>
        </w:rPr>
        <w:t xml:space="preserve">2. </w:t>
      </w:r>
      <w:r>
        <w:rPr>
          <w:rFonts w:ascii="Calibri" w:hAnsi="Calibri" w:cs="Calibri"/>
        </w:rPr>
        <w:tab/>
        <w:t xml:space="preserve">This is discussed further, in relation to France, in </w:t>
      </w:r>
      <w:r>
        <w:rPr>
          <w:rFonts w:ascii="Calibri" w:hAnsi="Calibri" w:cs="Calibri"/>
          <w:b/>
          <w:bCs/>
        </w:rPr>
        <w:t xml:space="preserve">Annex A </w:t>
      </w:r>
      <w:r>
        <w:rPr>
          <w:rFonts w:ascii="Calibri" w:hAnsi="Calibri" w:cs="Calibri"/>
        </w:rPr>
        <w:t>albeit that there are other issues relating to the sustainability of such a system.</w:t>
      </w:r>
    </w:p>
    <w:p w14:paraId="6B2A64B3" w14:textId="56848C66" w:rsidR="00A0397D" w:rsidRPr="00783CED" w:rsidRDefault="00A0397D" w:rsidP="00037CEE">
      <w:pPr>
        <w:ind w:left="720" w:hanging="720"/>
        <w:jc w:val="both"/>
        <w:rPr>
          <w:rFonts w:ascii="Calibri" w:hAnsi="Calibri" w:cs="Calibri"/>
        </w:rPr>
      </w:pPr>
      <w:r>
        <w:rPr>
          <w:rFonts w:ascii="Calibri" w:hAnsi="Calibri" w:cs="Calibri"/>
        </w:rPr>
        <w:t>3.</w:t>
      </w:r>
      <w:r>
        <w:rPr>
          <w:rFonts w:ascii="Calibri" w:hAnsi="Calibri" w:cs="Calibri"/>
        </w:rPr>
        <w:tab/>
        <w:t xml:space="preserve">Though quite rare, a pay-as-you-go retirement benefit system is possible in the US through the ongoing purchase of immediate and deferred annuities, as the case may be, from an insurance company, however such an arrangement either must meet specific rules including that it is funded exclusively by the purchase of individual insurance contracts or meet generally applicable funding rules. </w:t>
      </w:r>
    </w:p>
    <w:p w14:paraId="63537736" w14:textId="77777777" w:rsidR="00783CED" w:rsidRDefault="00783CED" w:rsidP="00037CEE">
      <w:pPr>
        <w:ind w:left="720" w:hanging="720"/>
        <w:jc w:val="both"/>
        <w:rPr>
          <w:rFonts w:ascii="Calibri" w:hAnsi="Calibri" w:cs="Calibri"/>
          <w:b/>
          <w:bCs/>
          <w:u w:val="single"/>
        </w:rPr>
      </w:pPr>
    </w:p>
    <w:p w14:paraId="07EFD6A6" w14:textId="74C3E349" w:rsidR="00783CED" w:rsidRPr="00783CED" w:rsidRDefault="00783CED" w:rsidP="00783CED">
      <w:pPr>
        <w:jc w:val="both"/>
        <w:rPr>
          <w:rFonts w:ascii="Calibri" w:hAnsi="Calibri" w:cs="Calibri"/>
        </w:rPr>
        <w:sectPr w:rsidR="00783CED" w:rsidRPr="00783CED" w:rsidSect="004C3F75">
          <w:footerReference w:type="even" r:id="rId15"/>
          <w:footerReference w:type="default" r:id="rId16"/>
          <w:footerReference w:type="first" r:id="rId17"/>
          <w:pgSz w:w="11906" w:h="16838"/>
          <w:pgMar w:top="1440" w:right="1700" w:bottom="1440" w:left="1440" w:header="708" w:footer="708" w:gutter="0"/>
          <w:cols w:space="708"/>
          <w:docGrid w:linePitch="360"/>
        </w:sectPr>
      </w:pPr>
    </w:p>
    <w:p w14:paraId="1AC74504" w14:textId="447FC6DB" w:rsidR="00EF17E6" w:rsidRPr="00235FF4" w:rsidRDefault="00EF17E6">
      <w:pPr>
        <w:rPr>
          <w:rFonts w:ascii="Calibri" w:hAnsi="Calibri" w:cs="Calibri"/>
          <w:b/>
          <w:bCs/>
          <w:lang w:val="it-IT"/>
        </w:rPr>
      </w:pPr>
    </w:p>
    <w:p w14:paraId="7B3DDDB4" w14:textId="55939BA7" w:rsidR="006907B7" w:rsidRPr="002F1C01" w:rsidRDefault="006907B7" w:rsidP="002F1C01">
      <w:pPr>
        <w:jc w:val="center"/>
        <w:rPr>
          <w:b/>
          <w:bCs/>
          <w:lang w:val="it-IT"/>
        </w:rPr>
      </w:pPr>
      <w:r w:rsidRPr="002F1C01">
        <w:rPr>
          <w:b/>
          <w:bCs/>
          <w:lang w:val="it-IT"/>
        </w:rPr>
        <w:t>ANNEX A</w:t>
      </w:r>
    </w:p>
    <w:p w14:paraId="56E19FE6" w14:textId="79F140AC" w:rsidR="006907B7" w:rsidRDefault="00235FF4" w:rsidP="002F1C01">
      <w:pPr>
        <w:jc w:val="center"/>
        <w:rPr>
          <w:b/>
          <w:bCs/>
        </w:rPr>
      </w:pPr>
      <w:r w:rsidRPr="002F1C01">
        <w:rPr>
          <w:b/>
          <w:bCs/>
        </w:rPr>
        <w:t>Overview of the French retirement system for employees</w:t>
      </w:r>
    </w:p>
    <w:p w14:paraId="55DE2E18" w14:textId="1E3270C4" w:rsidR="004942E9" w:rsidRPr="002F1C01" w:rsidRDefault="004942E9" w:rsidP="002F1C01">
      <w:pPr>
        <w:jc w:val="center"/>
        <w:rPr>
          <w:b/>
          <w:bCs/>
        </w:rPr>
      </w:pPr>
      <w:r>
        <w:rPr>
          <w:b/>
          <w:bCs/>
        </w:rPr>
        <w:t>by Auriane Damez</w:t>
      </w:r>
    </w:p>
    <w:p w14:paraId="5BFA9387" w14:textId="77777777" w:rsidR="0076339B" w:rsidRPr="00EF1D3E" w:rsidRDefault="0076339B" w:rsidP="0076339B">
      <w:pPr>
        <w:pStyle w:val="Heading1"/>
      </w:pPr>
      <w:r w:rsidRPr="00EF1D3E">
        <w:rPr>
          <w:noProof/>
          <w:color w:val="222222"/>
          <w:sz w:val="24"/>
          <w:szCs w:val="24"/>
        </w:rPr>
        <w:drawing>
          <wp:anchor distT="0" distB="0" distL="114300" distR="114300" simplePos="0" relativeHeight="251658240" behindDoc="1" locked="0" layoutInCell="1" allowOverlap="1" wp14:anchorId="6F738692" wp14:editId="3DFE8427">
            <wp:simplePos x="0" y="0"/>
            <wp:positionH relativeFrom="page">
              <wp:posOffset>2131163</wp:posOffset>
            </wp:positionH>
            <wp:positionV relativeFrom="paragraph">
              <wp:posOffset>777875</wp:posOffset>
            </wp:positionV>
            <wp:extent cx="4630420" cy="2780665"/>
            <wp:effectExtent l="12700" t="12700" r="30480" b="13335"/>
            <wp:wrapTight wrapText="bothSides">
              <wp:wrapPolygon edited="0">
                <wp:start x="10664" y="-99"/>
                <wp:lineTo x="-59" y="20520"/>
                <wp:lineTo x="-59" y="21605"/>
                <wp:lineTo x="21683" y="21605"/>
                <wp:lineTo x="21683" y="21506"/>
                <wp:lineTo x="10960" y="-99"/>
                <wp:lineTo x="10664" y="-99"/>
              </wp:wrapPolygon>
            </wp:wrapTight>
            <wp:docPr id="1337629767"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Pr="00EF1D3E">
        <w:t>French employee’s retirement system : principles</w:t>
      </w:r>
    </w:p>
    <w:tbl>
      <w:tblPr>
        <w:tblStyle w:val="TableGrid"/>
        <w:tblpPr w:leftFromText="141" w:rightFromText="141" w:vertAnchor="text" w:horzAnchor="page" w:tblpX="2684" w:tblpY="116"/>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261"/>
      </w:tblGrid>
      <w:tr w:rsidR="0076339B" w:rsidRPr="00EF1D3E" w14:paraId="45F8D609" w14:textId="77777777" w:rsidTr="00DF2B32">
        <w:trPr>
          <w:trHeight w:val="1125"/>
        </w:trPr>
        <w:tc>
          <w:tcPr>
            <w:tcW w:w="3261" w:type="dxa"/>
            <w:tcBorders>
              <w:bottom w:val="nil"/>
              <w:right w:val="nil"/>
            </w:tcBorders>
            <w:vAlign w:val="center"/>
          </w:tcPr>
          <w:p w14:paraId="36FA937C" w14:textId="77777777" w:rsidR="0076339B" w:rsidRPr="00EF1D3E" w:rsidRDefault="0076339B" w:rsidP="00DF2B32">
            <w:pPr>
              <w:jc w:val="right"/>
              <w:rPr>
                <w:rFonts w:cstheme="minorHAnsi"/>
                <w:color w:val="222222"/>
                <w:sz w:val="24"/>
                <w:szCs w:val="24"/>
              </w:rPr>
            </w:pPr>
            <w:r w:rsidRPr="00EF1D3E">
              <w:rPr>
                <w:rFonts w:cstheme="minorHAnsi"/>
                <w:color w:val="222222"/>
                <w:sz w:val="24"/>
                <w:szCs w:val="24"/>
              </w:rPr>
              <w:t>Pillar 3</w:t>
            </w:r>
          </w:p>
        </w:tc>
      </w:tr>
      <w:tr w:rsidR="0076339B" w:rsidRPr="00EF1D3E" w14:paraId="5C06E6E2" w14:textId="77777777" w:rsidTr="00DF2B32">
        <w:trPr>
          <w:trHeight w:val="1533"/>
        </w:trPr>
        <w:tc>
          <w:tcPr>
            <w:tcW w:w="3261" w:type="dxa"/>
            <w:tcBorders>
              <w:bottom w:val="nil"/>
              <w:right w:val="nil"/>
            </w:tcBorders>
            <w:vAlign w:val="center"/>
          </w:tcPr>
          <w:p w14:paraId="7637F6E0" w14:textId="77777777" w:rsidR="0076339B" w:rsidRPr="00EF1D3E" w:rsidRDefault="0076339B" w:rsidP="00DF2B32">
            <w:pPr>
              <w:jc w:val="center"/>
              <w:rPr>
                <w:rFonts w:cstheme="minorHAnsi"/>
                <w:color w:val="222222"/>
                <w:sz w:val="24"/>
                <w:szCs w:val="24"/>
              </w:rPr>
            </w:pPr>
            <w:r w:rsidRPr="00EF1D3E">
              <w:rPr>
                <w:rFonts w:cs="Arial"/>
                <w:color w:val="222222"/>
                <w:sz w:val="24"/>
                <w:szCs w:val="24"/>
              </w:rPr>
              <w:t xml:space="preserve">  </w:t>
            </w:r>
            <w:r w:rsidRPr="00EF1D3E">
              <w:rPr>
                <w:rFonts w:cstheme="minorHAnsi"/>
                <w:color w:val="222222"/>
                <w:sz w:val="24"/>
                <w:szCs w:val="24"/>
              </w:rPr>
              <w:t>Pillar 2</w:t>
            </w:r>
          </w:p>
        </w:tc>
      </w:tr>
      <w:tr w:rsidR="0076339B" w:rsidRPr="00EF1D3E" w14:paraId="61ADD0A1" w14:textId="77777777" w:rsidTr="00DF2B32">
        <w:trPr>
          <w:trHeight w:val="1556"/>
        </w:trPr>
        <w:tc>
          <w:tcPr>
            <w:tcW w:w="3261" w:type="dxa"/>
            <w:tcBorders>
              <w:right w:val="nil"/>
            </w:tcBorders>
            <w:vAlign w:val="center"/>
          </w:tcPr>
          <w:p w14:paraId="0FD46184" w14:textId="77777777" w:rsidR="0076339B" w:rsidRPr="00EF1D3E" w:rsidRDefault="0076339B" w:rsidP="00DF2B32">
            <w:pPr>
              <w:rPr>
                <w:rFonts w:cstheme="minorHAnsi"/>
                <w:color w:val="222222"/>
                <w:sz w:val="24"/>
                <w:szCs w:val="24"/>
              </w:rPr>
            </w:pPr>
            <w:r w:rsidRPr="00EF1D3E">
              <w:rPr>
                <w:rFonts w:cstheme="minorHAnsi"/>
                <w:color w:val="222222"/>
                <w:sz w:val="24"/>
                <w:szCs w:val="24"/>
              </w:rPr>
              <w:t>Pillar 1</w:t>
            </w:r>
          </w:p>
        </w:tc>
      </w:tr>
    </w:tbl>
    <w:p w14:paraId="64299BDC" w14:textId="77777777" w:rsidR="0076339B" w:rsidRPr="00EF1D3E" w:rsidRDefault="0076339B" w:rsidP="0076339B">
      <w:pPr>
        <w:pStyle w:val="ListParagraph"/>
        <w:shd w:val="clear" w:color="auto" w:fill="FFFFFF"/>
        <w:spacing w:line="240" w:lineRule="auto"/>
        <w:rPr>
          <w:rFonts w:cs="Arial"/>
          <w:b/>
          <w:bCs/>
          <w:color w:val="222222"/>
          <w:sz w:val="24"/>
          <w:szCs w:val="24"/>
        </w:rPr>
      </w:pPr>
    </w:p>
    <w:p w14:paraId="2B4D2BED" w14:textId="77777777" w:rsidR="0076339B" w:rsidRPr="00EF1D3E" w:rsidRDefault="0076339B" w:rsidP="0076339B">
      <w:pPr>
        <w:shd w:val="clear" w:color="auto" w:fill="FFFFFF"/>
        <w:spacing w:line="240" w:lineRule="auto"/>
        <w:rPr>
          <w:rFonts w:cs="Arial"/>
          <w:color w:val="222222"/>
          <w:sz w:val="24"/>
          <w:szCs w:val="24"/>
        </w:rPr>
      </w:pPr>
    </w:p>
    <w:p w14:paraId="4A9AF73E" w14:textId="77777777" w:rsidR="0076339B" w:rsidRPr="00EF1D3E" w:rsidRDefault="0076339B" w:rsidP="0076339B">
      <w:pPr>
        <w:shd w:val="clear" w:color="auto" w:fill="FFFFFF"/>
        <w:spacing w:line="240" w:lineRule="auto"/>
        <w:rPr>
          <w:rFonts w:cs="Arial"/>
          <w:color w:val="222222"/>
          <w:sz w:val="24"/>
          <w:szCs w:val="24"/>
        </w:rPr>
      </w:pPr>
    </w:p>
    <w:p w14:paraId="360BDEB0" w14:textId="77777777" w:rsidR="0076339B" w:rsidRPr="00EF1D3E" w:rsidRDefault="0076339B" w:rsidP="0076339B">
      <w:pPr>
        <w:shd w:val="clear" w:color="auto" w:fill="FFFFFF"/>
        <w:spacing w:line="240" w:lineRule="auto"/>
        <w:rPr>
          <w:rFonts w:cs="Arial"/>
          <w:color w:val="222222"/>
          <w:sz w:val="24"/>
          <w:szCs w:val="24"/>
        </w:rPr>
      </w:pPr>
    </w:p>
    <w:p w14:paraId="006AE5A0" w14:textId="77777777" w:rsidR="0076339B" w:rsidRPr="00EF1D3E" w:rsidRDefault="0076339B" w:rsidP="0076339B">
      <w:pPr>
        <w:shd w:val="clear" w:color="auto" w:fill="FFFFFF"/>
        <w:spacing w:line="240" w:lineRule="auto"/>
        <w:rPr>
          <w:rFonts w:cs="Arial"/>
          <w:color w:val="222222"/>
          <w:sz w:val="24"/>
          <w:szCs w:val="24"/>
        </w:rPr>
      </w:pPr>
    </w:p>
    <w:p w14:paraId="1FF7DCE1" w14:textId="77777777" w:rsidR="0076339B" w:rsidRPr="00EF1D3E" w:rsidRDefault="0076339B" w:rsidP="0076339B"/>
    <w:p w14:paraId="02E16E99" w14:textId="77777777" w:rsidR="0076339B" w:rsidRPr="00EF1D3E" w:rsidRDefault="0076339B" w:rsidP="0076339B"/>
    <w:p w14:paraId="1D5C8DCE" w14:textId="77777777" w:rsidR="0076339B" w:rsidRPr="00EF1D3E" w:rsidRDefault="0076339B" w:rsidP="0076339B"/>
    <w:p w14:paraId="02B8EC19" w14:textId="77777777" w:rsidR="0076339B" w:rsidRPr="00EF1D3E" w:rsidRDefault="0076339B" w:rsidP="0076339B"/>
    <w:p w14:paraId="0B463C29" w14:textId="77777777" w:rsidR="0076339B" w:rsidRPr="00EF1D3E" w:rsidRDefault="0076339B" w:rsidP="0076339B"/>
    <w:p w14:paraId="207EAE27" w14:textId="77777777" w:rsidR="0076339B" w:rsidRPr="00EF1D3E" w:rsidRDefault="0076339B" w:rsidP="0076339B"/>
    <w:p w14:paraId="36EBD84D" w14:textId="77777777" w:rsidR="0076339B" w:rsidRPr="00EF1D3E" w:rsidRDefault="0076339B" w:rsidP="0076339B"/>
    <w:p w14:paraId="10D5D585" w14:textId="77777777" w:rsidR="0076339B" w:rsidRPr="00EF1D3E" w:rsidRDefault="0076339B" w:rsidP="0076339B"/>
    <w:p w14:paraId="766D1718" w14:textId="77777777" w:rsidR="0076339B" w:rsidRPr="00EF1D3E" w:rsidRDefault="0076339B" w:rsidP="0076339B"/>
    <w:p w14:paraId="521BF45F" w14:textId="77777777" w:rsidR="0076339B" w:rsidRPr="00387D37" w:rsidRDefault="0076339B" w:rsidP="0076339B">
      <w:pPr>
        <w:pStyle w:val="ListBullet"/>
        <w:rPr>
          <w:rFonts w:ascii="Calibri" w:hAnsi="Calibri" w:cs="Calibri"/>
          <w:sz w:val="22"/>
          <w:szCs w:val="22"/>
        </w:rPr>
      </w:pPr>
      <w:r w:rsidRPr="00387D37">
        <w:rPr>
          <w:rFonts w:ascii="Calibri" w:hAnsi="Calibri" w:cs="Calibri"/>
          <w:sz w:val="22"/>
          <w:szCs w:val="22"/>
        </w:rPr>
        <w:t xml:space="preserve">The first pillar is the mandatory social security plan : ‘pay as you go’ scheme. Salaried workers and employers contribute to this scheme. </w:t>
      </w:r>
    </w:p>
    <w:p w14:paraId="157AB5B5" w14:textId="77777777" w:rsidR="0076339B" w:rsidRPr="00387D37" w:rsidRDefault="0076339B" w:rsidP="0076339B">
      <w:pPr>
        <w:pStyle w:val="ListBullet"/>
        <w:rPr>
          <w:rFonts w:ascii="Calibri" w:hAnsi="Calibri" w:cs="Calibri"/>
          <w:sz w:val="22"/>
          <w:szCs w:val="22"/>
        </w:rPr>
      </w:pPr>
      <w:r w:rsidRPr="00387D37">
        <w:rPr>
          <w:rFonts w:ascii="Calibri" w:hAnsi="Calibri" w:cs="Calibri"/>
          <w:sz w:val="22"/>
          <w:szCs w:val="22"/>
        </w:rPr>
        <w:t>The second pillar is mandatory (also) inter-professional complementary retirement plan (AGIRC –ARRCO)</w:t>
      </w:r>
      <w:r w:rsidRPr="00387D37">
        <w:rPr>
          <w:rFonts w:ascii="Calibri" w:hAnsi="Calibri" w:cs="Calibri"/>
          <w:color w:val="231F20"/>
          <w:sz w:val="22"/>
          <w:szCs w:val="22"/>
        </w:rPr>
        <w:t xml:space="preserve">. This pension scheme is also financed on a pay-as-you-go basis. </w:t>
      </w:r>
    </w:p>
    <w:p w14:paraId="1F99A863" w14:textId="77777777" w:rsidR="0076339B" w:rsidRPr="00387D37" w:rsidRDefault="0076339B" w:rsidP="0076339B">
      <w:pPr>
        <w:pStyle w:val="ListBullet"/>
        <w:rPr>
          <w:rFonts w:ascii="Calibri" w:hAnsi="Calibri" w:cs="Calibri"/>
          <w:sz w:val="22"/>
          <w:szCs w:val="22"/>
        </w:rPr>
      </w:pPr>
      <w:r w:rsidRPr="00387D37">
        <w:rPr>
          <w:rFonts w:ascii="Calibri" w:hAnsi="Calibri" w:cs="Calibri"/>
          <w:sz w:val="22"/>
          <w:szCs w:val="22"/>
        </w:rPr>
        <w:t> The third pillar includes all the supplementary pension plans undertaken by the employers and also all other options (for example for independent workers). Therefore, DB plans are in this pillar.</w:t>
      </w:r>
    </w:p>
    <w:p w14:paraId="64DDAA51" w14:textId="77777777" w:rsidR="0076339B" w:rsidRPr="00387D37" w:rsidRDefault="0076339B" w:rsidP="0076339B">
      <w:pPr>
        <w:rPr>
          <w:rFonts w:ascii="Calibri" w:hAnsi="Calibri" w:cs="Calibri"/>
        </w:rPr>
      </w:pPr>
    </w:p>
    <w:p w14:paraId="26DBC2CA" w14:textId="77777777" w:rsidR="0076339B" w:rsidRPr="00EF1D3E" w:rsidRDefault="0076339B" w:rsidP="0076339B"/>
    <w:p w14:paraId="57CC7F4C" w14:textId="77777777" w:rsidR="0076339B" w:rsidRPr="00EF1D3E" w:rsidRDefault="0076339B" w:rsidP="0076339B"/>
    <w:p w14:paraId="5B3C5E20" w14:textId="77777777" w:rsidR="0076339B" w:rsidRPr="00EF1D3E" w:rsidRDefault="0076339B" w:rsidP="0076339B"/>
    <w:p w14:paraId="35F3D176" w14:textId="77777777" w:rsidR="0076339B" w:rsidRPr="00EF1D3E" w:rsidRDefault="0076339B" w:rsidP="0076339B"/>
    <w:p w14:paraId="65B75B8E" w14:textId="77777777" w:rsidR="0076339B" w:rsidRPr="00EF1D3E" w:rsidRDefault="0076339B" w:rsidP="0076339B"/>
    <w:p w14:paraId="46403F8F" w14:textId="77777777" w:rsidR="0076339B" w:rsidRPr="00EF1D3E" w:rsidRDefault="0076339B" w:rsidP="0076339B"/>
    <w:p w14:paraId="29D33D26" w14:textId="77777777" w:rsidR="0076339B" w:rsidRPr="00EF1D3E" w:rsidRDefault="0076339B" w:rsidP="0076339B"/>
    <w:p w14:paraId="0541A33A" w14:textId="00EC6524" w:rsidR="0076339B" w:rsidRPr="00EF1D3E" w:rsidRDefault="0076339B" w:rsidP="0076339B">
      <w:pPr>
        <w:pStyle w:val="Heading1"/>
      </w:pPr>
      <w:r w:rsidRPr="00EF1D3E">
        <w:t>Some figures</w:t>
      </w:r>
      <w:r>
        <w:t xml:space="preserve"> : the modest part of supplementary pensions</w:t>
      </w:r>
      <w:r w:rsidR="00D23AAE">
        <w:t xml:space="preserve"> (Pillar 3) </w:t>
      </w:r>
      <w:r>
        <w:t>in French retirement system</w:t>
      </w:r>
    </w:p>
    <w:p w14:paraId="421FA117" w14:textId="7491E3F0" w:rsidR="0076339B" w:rsidRPr="00E67588" w:rsidRDefault="0076339B" w:rsidP="0076339B">
      <w:pPr>
        <w:pStyle w:val="Idecarr"/>
        <w:rPr>
          <w:rFonts w:ascii="Calibri" w:hAnsi="Calibri" w:cs="Calibri"/>
          <w:sz w:val="22"/>
          <w:szCs w:val="22"/>
        </w:rPr>
      </w:pPr>
      <w:r w:rsidRPr="00E67588">
        <w:rPr>
          <w:rFonts w:ascii="Calibri" w:hAnsi="Calibri" w:cs="Calibri"/>
          <w:sz w:val="22"/>
          <w:szCs w:val="22"/>
        </w:rPr>
        <w:t>The supplementary pensions sector</w:t>
      </w:r>
      <w:r w:rsidR="00566FC9" w:rsidRPr="00E67588">
        <w:rPr>
          <w:rFonts w:ascii="Calibri" w:hAnsi="Calibri" w:cs="Calibri"/>
          <w:sz w:val="22"/>
          <w:szCs w:val="22"/>
        </w:rPr>
        <w:t xml:space="preserve"> (Pillar 3)</w:t>
      </w:r>
      <w:r w:rsidRPr="00E67588">
        <w:rPr>
          <w:rFonts w:ascii="Calibri" w:hAnsi="Calibri" w:cs="Calibri"/>
          <w:sz w:val="22"/>
          <w:szCs w:val="22"/>
        </w:rPr>
        <w:t xml:space="preserve"> is growing but remains modest. </w:t>
      </w:r>
    </w:p>
    <w:p w14:paraId="5273D1F6" w14:textId="77777777"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In 2021,</w:t>
      </w:r>
    </w:p>
    <w:p w14:paraId="404AA5B5"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5.8% of contributions for all the retirement system (from the 3 pillars) finance supplementary retirement plans</w:t>
      </w:r>
    </w:p>
    <w:p w14:paraId="0AC3D458"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 xml:space="preserve"> less than 3% of the global pension comes from the optional system</w:t>
      </w:r>
    </w:p>
    <w:p w14:paraId="15B5E14E" w14:textId="77777777" w:rsidR="0076339B" w:rsidRPr="00EF1D3E" w:rsidRDefault="0076339B" w:rsidP="0076339B"/>
    <w:p w14:paraId="7D911CB0" w14:textId="77777777" w:rsidR="0076339B" w:rsidRPr="00EF1D3E" w:rsidRDefault="0076339B" w:rsidP="0076339B">
      <w:r w:rsidRPr="00EF1D3E">
        <w:rPr>
          <w:noProof/>
        </w:rPr>
        <w:drawing>
          <wp:inline distT="0" distB="0" distL="0" distR="0" wp14:anchorId="6820A269" wp14:editId="4703729B">
            <wp:extent cx="5759450" cy="3069590"/>
            <wp:effectExtent l="0" t="0" r="0" b="0"/>
            <wp:docPr id="91995446" name="Image 1" descr="Une image contenant texte, capture d’écran, lign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95446" name="Image 1" descr="Une image contenant texte, capture d’écran, ligne, Police&#10;&#10;Description générée automatiquement"/>
                    <pic:cNvPicPr/>
                  </pic:nvPicPr>
                  <pic:blipFill>
                    <a:blip r:embed="rId23"/>
                    <a:stretch>
                      <a:fillRect/>
                    </a:stretch>
                  </pic:blipFill>
                  <pic:spPr>
                    <a:xfrm>
                      <a:off x="0" y="0"/>
                      <a:ext cx="5759450" cy="3069590"/>
                    </a:xfrm>
                    <a:prstGeom prst="rect">
                      <a:avLst/>
                    </a:prstGeom>
                  </pic:spPr>
                </pic:pic>
              </a:graphicData>
            </a:graphic>
          </wp:inline>
        </w:drawing>
      </w:r>
    </w:p>
    <w:p w14:paraId="43068459" w14:textId="77777777" w:rsidR="0076339B" w:rsidRPr="00E67588" w:rsidRDefault="0076339B" w:rsidP="0076339B">
      <w:pPr>
        <w:rPr>
          <w:rFonts w:ascii="Calibri" w:hAnsi="Calibri" w:cs="Calibri"/>
          <w:lang w:val="fr-FR"/>
        </w:rPr>
      </w:pPr>
      <w:r w:rsidRPr="00EF1D3E">
        <w:tab/>
      </w:r>
      <w:r w:rsidRPr="00E67588">
        <w:rPr>
          <w:rFonts w:ascii="Calibri" w:hAnsi="Calibri" w:cs="Calibri"/>
          <w:lang w:val="fr-FR"/>
        </w:rPr>
        <w:t xml:space="preserve">[rapport DREES, Les retraités et les retraités, </w:t>
      </w:r>
      <w:proofErr w:type="spellStart"/>
      <w:r w:rsidRPr="00E67588">
        <w:rPr>
          <w:rFonts w:ascii="Calibri" w:hAnsi="Calibri" w:cs="Calibri"/>
          <w:lang w:val="fr-FR"/>
        </w:rPr>
        <w:t>edition</w:t>
      </w:r>
      <w:proofErr w:type="spellEnd"/>
      <w:r w:rsidRPr="00E67588">
        <w:rPr>
          <w:rFonts w:ascii="Calibri" w:hAnsi="Calibri" w:cs="Calibri"/>
          <w:lang w:val="fr-FR"/>
        </w:rPr>
        <w:t xml:space="preserve"> 2023]</w:t>
      </w:r>
    </w:p>
    <w:p w14:paraId="6C102046" w14:textId="77777777" w:rsidR="0076339B" w:rsidRPr="00E67588" w:rsidRDefault="0076339B" w:rsidP="0076339B">
      <w:pPr>
        <w:rPr>
          <w:rFonts w:ascii="Calibri" w:hAnsi="Calibri" w:cs="Calibri"/>
          <w:lang w:val="fr-FR"/>
        </w:rPr>
      </w:pPr>
    </w:p>
    <w:p w14:paraId="41B30462" w14:textId="77777777" w:rsidR="0076339B" w:rsidRPr="00E67588" w:rsidRDefault="0076339B" w:rsidP="0076339B">
      <w:pPr>
        <w:pStyle w:val="Idecarr"/>
        <w:rPr>
          <w:rFonts w:ascii="Calibri" w:hAnsi="Calibri" w:cs="Calibri"/>
          <w:sz w:val="22"/>
          <w:szCs w:val="22"/>
        </w:rPr>
      </w:pPr>
      <w:r w:rsidRPr="00E67588">
        <w:rPr>
          <w:rFonts w:ascii="Calibri" w:hAnsi="Calibri" w:cs="Calibri"/>
          <w:sz w:val="22"/>
          <w:szCs w:val="22"/>
        </w:rPr>
        <w:t xml:space="preserve">Among the supplementary retirement plans, the most common plans are defined contribution plans and long-term savings plans. The defined benefit plans are less common. </w:t>
      </w:r>
    </w:p>
    <w:p w14:paraId="0BBBED42" w14:textId="77777777"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 xml:space="preserve">In 2021, </w:t>
      </w:r>
    </w:p>
    <w:p w14:paraId="4389C5A8"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 xml:space="preserve">Only 8.8% of contributions to all supplementary retirement plans finance DB plans </w:t>
      </w:r>
    </w:p>
    <w:p w14:paraId="17709F37"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 xml:space="preserve">DB plans provide only 14.1% of all supplementary retirement benefits. </w:t>
      </w:r>
    </w:p>
    <w:p w14:paraId="5698CB02" w14:textId="77777777" w:rsidR="0076339B" w:rsidRPr="00E67588" w:rsidRDefault="0076339B" w:rsidP="0076339B">
      <w:pPr>
        <w:rPr>
          <w:rFonts w:ascii="Calibri" w:hAnsi="Calibri" w:cs="Calibri"/>
        </w:rPr>
      </w:pPr>
    </w:p>
    <w:p w14:paraId="3EB0F740" w14:textId="77777777" w:rsidR="0076339B" w:rsidRPr="00EF1D3E" w:rsidRDefault="0076339B" w:rsidP="0076339B">
      <w:r w:rsidRPr="00EF1D3E">
        <w:rPr>
          <w:noProof/>
        </w:rPr>
        <w:lastRenderedPageBreak/>
        <w:drawing>
          <wp:anchor distT="0" distB="0" distL="114300" distR="114300" simplePos="0" relativeHeight="251658241" behindDoc="1" locked="0" layoutInCell="1" allowOverlap="1" wp14:anchorId="6A5083B1" wp14:editId="2DD8FFE8">
            <wp:simplePos x="0" y="0"/>
            <wp:positionH relativeFrom="column">
              <wp:posOffset>-858</wp:posOffset>
            </wp:positionH>
            <wp:positionV relativeFrom="paragraph">
              <wp:posOffset>412</wp:posOffset>
            </wp:positionV>
            <wp:extent cx="5759450" cy="5152390"/>
            <wp:effectExtent l="0" t="0" r="0" b="0"/>
            <wp:wrapTight wrapText="bothSides">
              <wp:wrapPolygon edited="0">
                <wp:start x="0" y="0"/>
                <wp:lineTo x="0" y="21483"/>
                <wp:lineTo x="21505" y="21483"/>
                <wp:lineTo x="21505" y="0"/>
                <wp:lineTo x="0" y="0"/>
              </wp:wrapPolygon>
            </wp:wrapTight>
            <wp:docPr id="186017330" name="Image 1" descr="Une image contenant texte, capture d’écran, nombre, men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17330" name="Image 1" descr="Une image contenant texte, capture d’écran, nombre, menu&#10;&#10;Description générée automatiquement"/>
                    <pic:cNvPicPr/>
                  </pic:nvPicPr>
                  <pic:blipFill>
                    <a:blip r:embed="rId24">
                      <a:extLst>
                        <a:ext uri="{28A0092B-C50C-407E-A947-70E740481C1C}">
                          <a14:useLocalDpi xmlns:a14="http://schemas.microsoft.com/office/drawing/2010/main" val="0"/>
                        </a:ext>
                      </a:extLst>
                    </a:blip>
                    <a:stretch>
                      <a:fillRect/>
                    </a:stretch>
                  </pic:blipFill>
                  <pic:spPr>
                    <a:xfrm>
                      <a:off x="0" y="0"/>
                      <a:ext cx="5759450" cy="5152390"/>
                    </a:xfrm>
                    <a:prstGeom prst="rect">
                      <a:avLst/>
                    </a:prstGeom>
                  </pic:spPr>
                </pic:pic>
              </a:graphicData>
            </a:graphic>
          </wp:anchor>
        </w:drawing>
      </w:r>
    </w:p>
    <w:p w14:paraId="260A1ED4" w14:textId="77777777" w:rsidR="0076339B" w:rsidRPr="00EF1D3E" w:rsidRDefault="0076339B" w:rsidP="0076339B"/>
    <w:p w14:paraId="6D4D76EA" w14:textId="06D9594F" w:rsidR="0076339B" w:rsidRPr="00EF1D3E" w:rsidRDefault="0076339B" w:rsidP="0076339B">
      <w:pPr>
        <w:pStyle w:val="Heading1"/>
      </w:pPr>
      <w:r w:rsidRPr="00EF1D3E">
        <w:t xml:space="preserve">Main rules about </w:t>
      </w:r>
      <w:r w:rsidR="00566FC9">
        <w:t xml:space="preserve">Pillar 3 </w:t>
      </w:r>
      <w:r w:rsidR="00E67588">
        <w:t xml:space="preserve">on </w:t>
      </w:r>
      <w:r w:rsidRPr="00EF1D3E">
        <w:t>DB Plans in France</w:t>
      </w:r>
    </w:p>
    <w:p w14:paraId="4FD7EF49" w14:textId="77777777"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Reform by Ordinance of July 3, 2019 (implementing the mobility Directive 2014/50/UE)</w:t>
      </w:r>
    </w:p>
    <w:p w14:paraId="2A039C29" w14:textId="77777777"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 xml:space="preserve">For whom ? </w:t>
      </w:r>
    </w:p>
    <w:p w14:paraId="678AA629" w14:textId="2638A6FC" w:rsidR="0076339B" w:rsidRPr="00E67588" w:rsidRDefault="00F34F6D" w:rsidP="0076339B">
      <w:pPr>
        <w:pStyle w:val="ListBullet"/>
        <w:numPr>
          <w:ilvl w:val="1"/>
          <w:numId w:val="6"/>
        </w:numPr>
        <w:rPr>
          <w:rFonts w:ascii="Calibri" w:hAnsi="Calibri" w:cs="Calibri"/>
          <w:sz w:val="22"/>
          <w:szCs w:val="22"/>
        </w:rPr>
      </w:pPr>
      <w:r>
        <w:rPr>
          <w:rFonts w:ascii="Calibri" w:hAnsi="Calibri" w:cs="Calibri"/>
          <w:sz w:val="22"/>
          <w:szCs w:val="22"/>
        </w:rPr>
        <w:t>Employers</w:t>
      </w:r>
      <w:r w:rsidRPr="00D5188F">
        <w:rPr>
          <w:rFonts w:ascii="Calibri" w:hAnsi="Calibri" w:cs="Calibri"/>
          <w:sz w:val="22"/>
          <w:szCs w:val="22"/>
        </w:rPr>
        <w:t xml:space="preserve"> are free to determine the category of beneficiaries of these plans. However, in practice, DB plans are primarily implemented for executives</w:t>
      </w:r>
      <w:r>
        <w:rPr>
          <w:rFonts w:ascii="Calibri" w:hAnsi="Calibri" w:cs="Calibri"/>
          <w:sz w:val="22"/>
          <w:szCs w:val="22"/>
        </w:rPr>
        <w:t xml:space="preserve">. </w:t>
      </w:r>
      <w:r w:rsidR="0076339B" w:rsidRPr="00E67588">
        <w:rPr>
          <w:rFonts w:ascii="Calibri" w:hAnsi="Calibri" w:cs="Calibri"/>
          <w:sz w:val="22"/>
          <w:szCs w:val="22"/>
        </w:rPr>
        <w:t xml:space="preserve">But the employer can set up DB plans conditional upon implementing, for all the employees a long-term savings plan (PERCO </w:t>
      </w:r>
      <w:r w:rsidR="00065D82">
        <w:rPr>
          <w:rFonts w:ascii="Calibri" w:hAnsi="Calibri" w:cs="Calibri"/>
          <w:sz w:val="22"/>
          <w:szCs w:val="22"/>
        </w:rPr>
        <w:t>or</w:t>
      </w:r>
      <w:r w:rsidR="0076339B" w:rsidRPr="00E67588">
        <w:rPr>
          <w:rFonts w:ascii="Calibri" w:hAnsi="Calibri" w:cs="Calibri"/>
          <w:sz w:val="22"/>
          <w:szCs w:val="22"/>
        </w:rPr>
        <w:t xml:space="preserve"> </w:t>
      </w:r>
      <w:proofErr w:type="spellStart"/>
      <w:r w:rsidR="0076339B" w:rsidRPr="00E67588">
        <w:rPr>
          <w:rFonts w:ascii="Calibri" w:hAnsi="Calibri" w:cs="Calibri"/>
          <w:sz w:val="22"/>
          <w:szCs w:val="22"/>
        </w:rPr>
        <w:t>PERECOL</w:t>
      </w:r>
      <w:proofErr w:type="spellEnd"/>
      <w:r w:rsidR="0076339B" w:rsidRPr="00E67588">
        <w:rPr>
          <w:rFonts w:ascii="Calibri" w:hAnsi="Calibri" w:cs="Calibri"/>
          <w:sz w:val="22"/>
          <w:szCs w:val="22"/>
        </w:rPr>
        <w:t xml:space="preserve">) or a mandatory plan (as a DC plan ; PER-OB) </w:t>
      </w:r>
    </w:p>
    <w:p w14:paraId="4D1567DB"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Membership of the plan can be subject to:</w:t>
      </w:r>
    </w:p>
    <w:p w14:paraId="493E2B27" w14:textId="77777777" w:rsidR="0076339B" w:rsidRPr="00E67588" w:rsidRDefault="0076339B" w:rsidP="0076339B">
      <w:pPr>
        <w:pStyle w:val="ListBullet"/>
        <w:numPr>
          <w:ilvl w:val="2"/>
          <w:numId w:val="6"/>
        </w:numPr>
        <w:rPr>
          <w:rFonts w:ascii="Calibri" w:hAnsi="Calibri" w:cs="Calibri"/>
          <w:sz w:val="22"/>
          <w:szCs w:val="22"/>
        </w:rPr>
      </w:pPr>
      <w:r w:rsidRPr="00E67588">
        <w:rPr>
          <w:rFonts w:ascii="Calibri" w:hAnsi="Calibri" w:cs="Calibri"/>
          <w:sz w:val="22"/>
          <w:szCs w:val="22"/>
        </w:rPr>
        <w:t>A minimum seniority</w:t>
      </w:r>
    </w:p>
    <w:p w14:paraId="710A54E7" w14:textId="77777777" w:rsidR="0076339B" w:rsidRPr="00E67588" w:rsidRDefault="0076339B" w:rsidP="0076339B">
      <w:pPr>
        <w:pStyle w:val="ListBullet"/>
        <w:numPr>
          <w:ilvl w:val="2"/>
          <w:numId w:val="6"/>
        </w:numPr>
        <w:rPr>
          <w:rFonts w:ascii="Calibri" w:hAnsi="Calibri" w:cs="Calibri"/>
          <w:sz w:val="22"/>
          <w:szCs w:val="22"/>
        </w:rPr>
      </w:pPr>
      <w:r w:rsidRPr="00E67588">
        <w:rPr>
          <w:rFonts w:ascii="Calibri" w:hAnsi="Calibri" w:cs="Calibri"/>
          <w:sz w:val="22"/>
          <w:szCs w:val="22"/>
        </w:rPr>
        <w:t>A minimum period of contributions (In theory, the plan can be funded by employer and employee contributions. In practice, this plan is mainly financed solely by the company.)</w:t>
      </w:r>
    </w:p>
    <w:p w14:paraId="346804AD" w14:textId="77777777" w:rsidR="0076339B" w:rsidRPr="00E67588" w:rsidRDefault="0076339B" w:rsidP="0076339B">
      <w:pPr>
        <w:pStyle w:val="ListBullet"/>
        <w:numPr>
          <w:ilvl w:val="0"/>
          <w:numId w:val="0"/>
        </w:numPr>
        <w:ind w:left="1800"/>
        <w:rPr>
          <w:rFonts w:ascii="Calibri" w:hAnsi="Calibri" w:cs="Calibri"/>
          <w:sz w:val="22"/>
          <w:szCs w:val="22"/>
        </w:rPr>
      </w:pPr>
      <w:r w:rsidRPr="00E67588">
        <w:rPr>
          <w:rFonts w:ascii="Calibri" w:hAnsi="Calibri" w:cs="Calibri"/>
          <w:sz w:val="22"/>
          <w:szCs w:val="22"/>
        </w:rPr>
        <w:lastRenderedPageBreak/>
        <w:t xml:space="preserve"> The sum of these two periods cannot exceed three years. </w:t>
      </w:r>
    </w:p>
    <w:p w14:paraId="158823E9" w14:textId="77777777" w:rsidR="0076339B" w:rsidRPr="00E67588" w:rsidRDefault="0076339B" w:rsidP="0076339B">
      <w:pPr>
        <w:pStyle w:val="ListBullet"/>
        <w:numPr>
          <w:ilvl w:val="0"/>
          <w:numId w:val="0"/>
        </w:numPr>
        <w:ind w:left="1440"/>
        <w:rPr>
          <w:rFonts w:ascii="Calibri" w:hAnsi="Calibri" w:cs="Calibri"/>
          <w:sz w:val="22"/>
          <w:szCs w:val="22"/>
        </w:rPr>
      </w:pPr>
    </w:p>
    <w:p w14:paraId="22D66AED" w14:textId="47737DED"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 xml:space="preserve">Which kind of benefit ? a </w:t>
      </w:r>
      <w:r w:rsidR="007B200D" w:rsidRPr="00E67588">
        <w:rPr>
          <w:rFonts w:ascii="Calibri" w:hAnsi="Calibri" w:cs="Calibri"/>
          <w:sz w:val="22"/>
          <w:szCs w:val="22"/>
        </w:rPr>
        <w:t>lifetime</w:t>
      </w:r>
      <w:r w:rsidRPr="00E67588">
        <w:rPr>
          <w:rFonts w:ascii="Calibri" w:hAnsi="Calibri" w:cs="Calibri"/>
          <w:sz w:val="22"/>
          <w:szCs w:val="22"/>
        </w:rPr>
        <w:t xml:space="preserve"> pension annuity, from the retirement date (No lump sum except in case of death)</w:t>
      </w:r>
    </w:p>
    <w:p w14:paraId="16D0D24D" w14:textId="77777777"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 xml:space="preserve">DB must provide vested benefits </w:t>
      </w:r>
    </w:p>
    <w:p w14:paraId="6420A365"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 xml:space="preserve">The member’s pension rights remain vested even if he/she leaves the company (vs the previous rule according with the DB pension rights were conditional upon the fact the employee retires from the company which provide the DB plan) </w:t>
      </w:r>
    </w:p>
    <w:p w14:paraId="53294836"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Rights are accrued each year</w:t>
      </w:r>
    </w:p>
    <w:p w14:paraId="71C41662" w14:textId="77777777"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 xml:space="preserve">How much ? </w:t>
      </w:r>
    </w:p>
    <w:p w14:paraId="0A9B947B"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 xml:space="preserve">Pension rights must be calculated as a percentage of the annual pay slip of the year up to 3 per cent of this pay, capped to 30% if the beneficiary has several employers. </w:t>
      </w:r>
    </w:p>
    <w:p w14:paraId="0D9BF54C" w14:textId="761B1F9F"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For corporate officers and all employees who</w:t>
      </w:r>
      <w:r w:rsidR="00E8202D">
        <w:rPr>
          <w:rFonts w:ascii="Calibri" w:hAnsi="Calibri" w:cs="Calibri"/>
          <w:sz w:val="22"/>
          <w:szCs w:val="22"/>
        </w:rPr>
        <w:t>se</w:t>
      </w:r>
      <w:r w:rsidRPr="00E67588">
        <w:rPr>
          <w:rFonts w:ascii="Calibri" w:hAnsi="Calibri" w:cs="Calibri"/>
          <w:sz w:val="22"/>
          <w:szCs w:val="22"/>
        </w:rPr>
        <w:t xml:space="preserve"> pay exceeds 8</w:t>
      </w:r>
      <w:r w:rsidR="00E8202D">
        <w:rPr>
          <w:rFonts w:ascii="Calibri" w:hAnsi="Calibri" w:cs="Calibri"/>
          <w:sz w:val="22"/>
          <w:szCs w:val="22"/>
        </w:rPr>
        <w:t>x the</w:t>
      </w:r>
      <w:r w:rsidRPr="00E67588">
        <w:rPr>
          <w:rFonts w:ascii="Calibri" w:hAnsi="Calibri" w:cs="Calibri"/>
          <w:sz w:val="22"/>
          <w:szCs w:val="22"/>
        </w:rPr>
        <w:t xml:space="preserve"> social security ceiling (46 368€</w:t>
      </w:r>
      <w:r w:rsidR="003243C4">
        <w:rPr>
          <w:rStyle w:val="FootnoteReference"/>
          <w:rFonts w:ascii="Calibri" w:hAnsi="Calibri" w:cs="Calibri"/>
          <w:sz w:val="22"/>
          <w:szCs w:val="22"/>
        </w:rPr>
        <w:footnoteReference w:id="24"/>
      </w:r>
      <w:r w:rsidRPr="00E67588">
        <w:rPr>
          <w:rFonts w:ascii="Calibri" w:hAnsi="Calibri" w:cs="Calibri"/>
          <w:sz w:val="22"/>
          <w:szCs w:val="22"/>
        </w:rPr>
        <w:t xml:space="preserve"> x 8 = 370 944€ for 2024), the annual rights are accrued conditional upon professional objectives </w:t>
      </w:r>
    </w:p>
    <w:p w14:paraId="331E2A72"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The vested rights are revalued annually on the basis of a coefficient at most equal to the evolution of the social security ceiling</w:t>
      </w:r>
    </w:p>
    <w:p w14:paraId="274F15FB" w14:textId="78636C59"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DB Plan may only be offered by an insurance provider or an Additional Occupational Pension Fund (FRPS</w:t>
      </w:r>
      <w:r w:rsidR="008C2754">
        <w:rPr>
          <w:rStyle w:val="FootnoteReference"/>
          <w:rFonts w:ascii="Calibri" w:hAnsi="Calibri" w:cs="Calibri"/>
          <w:sz w:val="22"/>
          <w:szCs w:val="22"/>
        </w:rPr>
        <w:footnoteReference w:id="25"/>
      </w:r>
      <w:r w:rsidR="00223830">
        <w:rPr>
          <w:rFonts w:ascii="Calibri" w:hAnsi="Calibri" w:cs="Calibri"/>
          <w:sz w:val="22"/>
          <w:szCs w:val="22"/>
        </w:rPr>
        <w:t>)</w:t>
      </w:r>
      <w:r w:rsidRPr="00E67588">
        <w:rPr>
          <w:rFonts w:ascii="Calibri" w:hAnsi="Calibri" w:cs="Calibri"/>
          <w:sz w:val="22"/>
          <w:szCs w:val="22"/>
        </w:rPr>
        <w:t xml:space="preserve"> regulated by the Directive IORP 2</w:t>
      </w:r>
    </w:p>
    <w:p w14:paraId="200B0B5D" w14:textId="77777777" w:rsidR="0076339B" w:rsidRPr="00E67588" w:rsidRDefault="0076339B" w:rsidP="0076339B">
      <w:pPr>
        <w:pStyle w:val="ListBullet"/>
        <w:rPr>
          <w:rFonts w:ascii="Calibri" w:hAnsi="Calibri" w:cs="Calibri"/>
          <w:sz w:val="22"/>
          <w:szCs w:val="22"/>
        </w:rPr>
      </w:pPr>
      <w:r w:rsidRPr="00E67588">
        <w:rPr>
          <w:rFonts w:ascii="Calibri" w:hAnsi="Calibri" w:cs="Calibri"/>
          <w:sz w:val="22"/>
          <w:szCs w:val="22"/>
        </w:rPr>
        <w:t xml:space="preserve">Financial rules to ensure rights to the beneficiary </w:t>
      </w:r>
    </w:p>
    <w:p w14:paraId="62BFA5B5" w14:textId="244AE98C" w:rsidR="0076339B" w:rsidRPr="00E67588" w:rsidRDefault="00F34F6D" w:rsidP="0076339B">
      <w:pPr>
        <w:pStyle w:val="ListBullet"/>
        <w:numPr>
          <w:ilvl w:val="1"/>
          <w:numId w:val="6"/>
        </w:numPr>
        <w:rPr>
          <w:rFonts w:ascii="Calibri" w:hAnsi="Calibri" w:cs="Calibri"/>
          <w:sz w:val="22"/>
          <w:szCs w:val="22"/>
        </w:rPr>
      </w:pPr>
      <w:r>
        <w:rPr>
          <w:rFonts w:ascii="Calibri" w:hAnsi="Calibri" w:cs="Calibri"/>
          <w:sz w:val="22"/>
          <w:szCs w:val="22"/>
        </w:rPr>
        <w:t xml:space="preserve">Insolvency of the employer : </w:t>
      </w:r>
      <w:r w:rsidR="0076339B" w:rsidRPr="00E67588">
        <w:rPr>
          <w:rFonts w:ascii="Calibri" w:hAnsi="Calibri" w:cs="Calibri"/>
          <w:sz w:val="22"/>
          <w:szCs w:val="22"/>
        </w:rPr>
        <w:t>In any case, the beneficiary has to receive “at least half of the old-age benefits arising out of the accrued pension rights for which he has paid contributions under a supplementary occupational pension scheme”. Employer has to contract with an insurance company which guarantee</w:t>
      </w:r>
      <w:r w:rsidR="005C1C85">
        <w:rPr>
          <w:rFonts w:ascii="Calibri" w:hAnsi="Calibri" w:cs="Calibri"/>
          <w:sz w:val="22"/>
          <w:szCs w:val="22"/>
        </w:rPr>
        <w:t>s</w:t>
      </w:r>
      <w:r w:rsidR="0076339B" w:rsidRPr="00E67588">
        <w:rPr>
          <w:rFonts w:ascii="Calibri" w:hAnsi="Calibri" w:cs="Calibri"/>
          <w:sz w:val="22"/>
          <w:szCs w:val="22"/>
        </w:rPr>
        <w:t xml:space="preserve"> at least 50 per cent of the pension rights of each beneficiary in case of insolvency of the </w:t>
      </w:r>
      <w:r w:rsidR="005C1C85">
        <w:rPr>
          <w:rFonts w:ascii="Calibri" w:hAnsi="Calibri" w:cs="Calibri"/>
          <w:sz w:val="22"/>
          <w:szCs w:val="22"/>
        </w:rPr>
        <w:t xml:space="preserve">employer </w:t>
      </w:r>
      <w:r w:rsidR="0076339B" w:rsidRPr="00E67588">
        <w:rPr>
          <w:rFonts w:ascii="Calibri" w:hAnsi="Calibri" w:cs="Calibri"/>
          <w:sz w:val="22"/>
          <w:szCs w:val="22"/>
        </w:rPr>
        <w:t>company</w:t>
      </w:r>
    </w:p>
    <w:p w14:paraId="6D44F00F" w14:textId="77777777" w:rsidR="0076339B" w:rsidRPr="00E67588" w:rsidRDefault="0076339B" w:rsidP="0076339B">
      <w:pPr>
        <w:pStyle w:val="ListBullet"/>
        <w:numPr>
          <w:ilvl w:val="1"/>
          <w:numId w:val="6"/>
        </w:numPr>
        <w:rPr>
          <w:rFonts w:ascii="Calibri" w:hAnsi="Calibri" w:cs="Calibri"/>
          <w:sz w:val="22"/>
          <w:szCs w:val="22"/>
        </w:rPr>
      </w:pPr>
      <w:r w:rsidRPr="00E67588">
        <w:rPr>
          <w:rFonts w:ascii="Calibri" w:hAnsi="Calibri" w:cs="Calibri"/>
          <w:sz w:val="22"/>
          <w:szCs w:val="22"/>
        </w:rPr>
        <w:t>Therefore, each year, the insurer calls for a capital sum to build up the annuity.</w:t>
      </w:r>
    </w:p>
    <w:p w14:paraId="411ED0C5" w14:textId="7321E5E1" w:rsidR="0076339B" w:rsidRPr="00E67588" w:rsidRDefault="0076339B" w:rsidP="0076339B">
      <w:pPr>
        <w:rPr>
          <w:rFonts w:ascii="Calibri" w:hAnsi="Calibri" w:cs="Calibri"/>
        </w:rPr>
      </w:pPr>
    </w:p>
    <w:p w14:paraId="4DA20704" w14:textId="77777777" w:rsidR="00807F1C" w:rsidRDefault="00807F1C" w:rsidP="00807F1C">
      <w:pPr>
        <w:pStyle w:val="Heading1"/>
      </w:pPr>
      <w:r>
        <w:t>Further details</w:t>
      </w:r>
    </w:p>
    <w:p w14:paraId="6900C00E" w14:textId="7EA9C183" w:rsidR="00986B43" w:rsidRPr="00807F1C" w:rsidRDefault="00807F1C" w:rsidP="00807F1C">
      <w:pPr>
        <w:rPr>
          <w:rFonts w:ascii="Calibri" w:hAnsi="Calibri" w:cs="Calibri"/>
          <w:bCs/>
        </w:rPr>
      </w:pPr>
      <w:r w:rsidRPr="00807F1C">
        <w:rPr>
          <w:rFonts w:ascii="Calibri" w:hAnsi="Calibri" w:cs="Calibri"/>
          <w:bCs/>
        </w:rPr>
        <w:t xml:space="preserve">Further details will be covered in </w:t>
      </w:r>
      <w:r>
        <w:rPr>
          <w:rFonts w:ascii="Calibri" w:hAnsi="Calibri" w:cs="Calibri"/>
          <w:bCs/>
        </w:rPr>
        <w:t>the presentation at Workshop 16.</w:t>
      </w:r>
    </w:p>
    <w:sectPr w:rsidR="00986B43" w:rsidRPr="00807F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3843" w14:textId="77777777" w:rsidR="000760F3" w:rsidRDefault="000760F3" w:rsidP="00747941">
      <w:pPr>
        <w:spacing w:after="0" w:line="240" w:lineRule="auto"/>
      </w:pPr>
      <w:r>
        <w:separator/>
      </w:r>
    </w:p>
  </w:endnote>
  <w:endnote w:type="continuationSeparator" w:id="0">
    <w:p w14:paraId="73BCBE74" w14:textId="77777777" w:rsidR="000760F3" w:rsidRDefault="000760F3" w:rsidP="00747941">
      <w:pPr>
        <w:spacing w:after="0" w:line="240" w:lineRule="auto"/>
      </w:pPr>
      <w:r>
        <w:continuationSeparator/>
      </w:r>
    </w:p>
  </w:endnote>
  <w:endnote w:type="continuationNotice" w:id="1">
    <w:p w14:paraId="6D17A86D" w14:textId="77777777" w:rsidR="000760F3" w:rsidRDefault="00076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3">
    <w:panose1 w:val="050401020108070707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32FF" w14:textId="1D0AE203" w:rsidR="008C6B76" w:rsidRDefault="008C6B76">
    <w:pPr>
      <w:pStyle w:val="Footer"/>
    </w:pPr>
    <w:r>
      <w:rPr>
        <w:noProof/>
      </w:rPr>
      <mc:AlternateContent>
        <mc:Choice Requires="wps">
          <w:drawing>
            <wp:anchor distT="0" distB="0" distL="0" distR="0" simplePos="0" relativeHeight="251659264" behindDoc="0" locked="0" layoutInCell="1" allowOverlap="1" wp14:anchorId="458D5FBC" wp14:editId="776C2623">
              <wp:simplePos x="635" y="635"/>
              <wp:positionH relativeFrom="page">
                <wp:align>center</wp:align>
              </wp:positionH>
              <wp:positionV relativeFrom="page">
                <wp:align>bottom</wp:align>
              </wp:positionV>
              <wp:extent cx="443865" cy="443865"/>
              <wp:effectExtent l="0" t="0" r="0" b="0"/>
              <wp:wrapNone/>
              <wp:docPr id="2" name="Text Box 2" descr="- Limited distributio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E61AC8" w14:textId="759E5593" w:rsidR="008C6B76" w:rsidRPr="008C6B76" w:rsidRDefault="008C6B76" w:rsidP="008C6B76">
                          <w:pPr>
                            <w:spacing w:after="0"/>
                            <w:rPr>
                              <w:rFonts w:ascii="Arial" w:eastAsia="Arial" w:hAnsi="Arial" w:cs="Arial"/>
                              <w:noProof/>
                              <w:color w:val="00B050"/>
                              <w:sz w:val="16"/>
                              <w:szCs w:val="16"/>
                            </w:rPr>
                          </w:pPr>
                          <w:r w:rsidRPr="008C6B76">
                            <w:rPr>
                              <w:rFonts w:ascii="Arial" w:eastAsia="Arial" w:hAnsi="Arial" w:cs="Arial"/>
                              <w:noProof/>
                              <w:color w:val="00B050"/>
                              <w:sz w:val="16"/>
                              <w:szCs w:val="16"/>
                            </w:rPr>
                            <w:t>- Limited distribution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8D5FBC" id="_x0000_t202" coordsize="21600,21600" o:spt="202" path="m,l,21600r21600,l21600,xe">
              <v:stroke joinstyle="miter"/>
              <v:path gradientshapeok="t" o:connecttype="rect"/>
            </v:shapetype>
            <v:shape id="Text Box 2" o:spid="_x0000_s1026" type="#_x0000_t202" alt="- Limited distribution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" filled="f" stroked="f">
              <v:textbox style="mso-fit-shape-to-text:t" inset="0,0,0,15pt">
                <w:txbxContent>
                  <w:p w14:paraId="6BE61AC8" w14:textId="759E5593" w:rsidR="008C6B76" w:rsidRPr="008C6B76" w:rsidRDefault="008C6B76" w:rsidP="008C6B76">
                    <w:pPr>
                      <w:spacing w:after="0"/>
                      <w:rPr>
                        <w:rFonts w:ascii="Arial" w:eastAsia="Arial" w:hAnsi="Arial" w:cs="Arial"/>
                        <w:noProof/>
                        <w:color w:val="00B050"/>
                        <w:sz w:val="16"/>
                        <w:szCs w:val="16"/>
                      </w:rPr>
                    </w:pPr>
                    <w:r w:rsidRPr="008C6B76">
                      <w:rPr>
                        <w:rFonts w:ascii="Arial" w:eastAsia="Arial" w:hAnsi="Arial" w:cs="Arial"/>
                        <w:noProof/>
                        <w:color w:val="00B050"/>
                        <w:sz w:val="16"/>
                        <w:szCs w:val="16"/>
                      </w:rPr>
                      <w:t>- Limited distribution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48B7" w14:textId="1A67176E" w:rsidR="005D008B" w:rsidRDefault="008C6B76" w:rsidP="005D008B">
    <w:pPr>
      <w:pStyle w:val="Footer"/>
      <w:jc w:val="right"/>
    </w:pPr>
    <w:r>
      <w:rPr>
        <w:noProof/>
      </w:rPr>
      <mc:AlternateContent>
        <mc:Choice Requires="wps">
          <w:drawing>
            <wp:anchor distT="0" distB="0" distL="0" distR="0" simplePos="0" relativeHeight="251660288" behindDoc="0" locked="0" layoutInCell="1" allowOverlap="1" wp14:anchorId="7FFA9D8A" wp14:editId="15638432">
              <wp:simplePos x="914400" y="10067925"/>
              <wp:positionH relativeFrom="page">
                <wp:align>center</wp:align>
              </wp:positionH>
              <wp:positionV relativeFrom="page">
                <wp:align>bottom</wp:align>
              </wp:positionV>
              <wp:extent cx="443865" cy="443865"/>
              <wp:effectExtent l="0" t="0" r="6350" b="0"/>
              <wp:wrapNone/>
              <wp:docPr id="3" name="Text Box 3" descr="- Limited distributio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90335D" w14:textId="5F223772" w:rsidR="008C6B76" w:rsidRPr="008C6B76" w:rsidRDefault="008C6B76" w:rsidP="008C6B76">
                          <w:pPr>
                            <w:spacing w:after="0"/>
                            <w:rPr>
                              <w:rFonts w:ascii="Arial" w:eastAsia="Arial" w:hAnsi="Arial" w:cs="Arial"/>
                              <w:noProof/>
                              <w:color w:val="00B05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FA9D8A" id="_x0000_t202" coordsize="21600,21600" o:spt="202" path="m,l,21600r21600,l21600,xe">
              <v:stroke joinstyle="miter"/>
              <v:path gradientshapeok="t" o:connecttype="rect"/>
            </v:shapetype>
            <v:shape id="Text Box 3" o:spid="_x0000_s1027" type="#_x0000_t202" alt="- Limited distribution -"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3590335D" w14:textId="5F223772" w:rsidR="008C6B76" w:rsidRPr="008C6B76" w:rsidRDefault="008C6B76" w:rsidP="008C6B76">
                    <w:pPr>
                      <w:spacing w:after="0"/>
                      <w:rPr>
                        <w:rFonts w:ascii="Arial" w:eastAsia="Arial" w:hAnsi="Arial" w:cs="Arial"/>
                        <w:noProof/>
                        <w:color w:val="00B050"/>
                        <w:sz w:val="16"/>
                        <w:szCs w:val="16"/>
                      </w:rPr>
                    </w:pPr>
                  </w:p>
                </w:txbxContent>
              </v:textbox>
              <w10:wrap anchorx="page" anchory="page"/>
            </v:shape>
          </w:pict>
        </mc:Fallback>
      </mc:AlternateContent>
    </w:r>
    <w:r w:rsidR="005D008B">
      <w:fldChar w:fldCharType="begin"/>
    </w:r>
    <w:r w:rsidR="005D008B">
      <w:instrText>PAGE   \* MERGEFORMAT</w:instrText>
    </w:r>
    <w:r w:rsidR="005D008B">
      <w:fldChar w:fldCharType="separate"/>
    </w:r>
    <w:r w:rsidR="005D008B">
      <w:t>1</w:t>
    </w:r>
    <w:r w:rsidR="005D008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1A3" w14:textId="03803636" w:rsidR="008C6B76" w:rsidRDefault="008C6B76">
    <w:pPr>
      <w:pStyle w:val="Footer"/>
    </w:pPr>
    <w:r>
      <w:rPr>
        <w:noProof/>
      </w:rPr>
      <mc:AlternateContent>
        <mc:Choice Requires="wps">
          <w:drawing>
            <wp:anchor distT="0" distB="0" distL="0" distR="0" simplePos="0" relativeHeight="251658240" behindDoc="0" locked="0" layoutInCell="1" allowOverlap="1" wp14:anchorId="68AC76A7" wp14:editId="38AA1BCB">
              <wp:simplePos x="635" y="635"/>
              <wp:positionH relativeFrom="page">
                <wp:align>center</wp:align>
              </wp:positionH>
              <wp:positionV relativeFrom="page">
                <wp:align>bottom</wp:align>
              </wp:positionV>
              <wp:extent cx="443865" cy="443865"/>
              <wp:effectExtent l="0" t="0" r="0" b="0"/>
              <wp:wrapNone/>
              <wp:docPr id="1" name="Text Box 1" descr="- Limited distributio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62BDC5" w14:textId="12170915" w:rsidR="008C6B76" w:rsidRPr="008C6B76" w:rsidRDefault="008C6B76" w:rsidP="008C6B76">
                          <w:pPr>
                            <w:spacing w:after="0"/>
                            <w:rPr>
                              <w:rFonts w:ascii="Arial" w:eastAsia="Arial" w:hAnsi="Arial" w:cs="Arial"/>
                              <w:noProof/>
                              <w:color w:val="00B050"/>
                              <w:sz w:val="16"/>
                              <w:szCs w:val="16"/>
                            </w:rPr>
                          </w:pPr>
                          <w:r w:rsidRPr="008C6B76">
                            <w:rPr>
                              <w:rFonts w:ascii="Arial" w:eastAsia="Arial" w:hAnsi="Arial" w:cs="Arial"/>
                              <w:noProof/>
                              <w:color w:val="00B050"/>
                              <w:sz w:val="16"/>
                              <w:szCs w:val="16"/>
                            </w:rPr>
                            <w:t>- Limited distribution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AC76A7" id="_x0000_t202" coordsize="21600,21600" o:spt="202" path="m,l,21600r21600,l21600,xe">
              <v:stroke joinstyle="miter"/>
              <v:path gradientshapeok="t" o:connecttype="rect"/>
            </v:shapetype>
            <v:shape id="Text Box 1" o:spid="_x0000_s1028" type="#_x0000_t202" alt="- Limited distribution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2762BDC5" w14:textId="12170915" w:rsidR="008C6B76" w:rsidRPr="008C6B76" w:rsidRDefault="008C6B76" w:rsidP="008C6B76">
                    <w:pPr>
                      <w:spacing w:after="0"/>
                      <w:rPr>
                        <w:rFonts w:ascii="Arial" w:eastAsia="Arial" w:hAnsi="Arial" w:cs="Arial"/>
                        <w:noProof/>
                        <w:color w:val="00B050"/>
                        <w:sz w:val="16"/>
                        <w:szCs w:val="16"/>
                      </w:rPr>
                    </w:pPr>
                    <w:r w:rsidRPr="008C6B76">
                      <w:rPr>
                        <w:rFonts w:ascii="Arial" w:eastAsia="Arial" w:hAnsi="Arial" w:cs="Arial"/>
                        <w:noProof/>
                        <w:color w:val="00B050"/>
                        <w:sz w:val="16"/>
                        <w:szCs w:val="16"/>
                      </w:rPr>
                      <w:t>- Limited distribution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0A07" w14:textId="77777777" w:rsidR="000760F3" w:rsidRDefault="000760F3" w:rsidP="00747941">
      <w:pPr>
        <w:spacing w:after="0" w:line="240" w:lineRule="auto"/>
      </w:pPr>
      <w:r>
        <w:separator/>
      </w:r>
    </w:p>
  </w:footnote>
  <w:footnote w:type="continuationSeparator" w:id="0">
    <w:p w14:paraId="4E877F84" w14:textId="77777777" w:rsidR="000760F3" w:rsidRDefault="000760F3" w:rsidP="00747941">
      <w:pPr>
        <w:spacing w:after="0" w:line="240" w:lineRule="auto"/>
      </w:pPr>
      <w:r>
        <w:continuationSeparator/>
      </w:r>
    </w:p>
  </w:footnote>
  <w:footnote w:type="continuationNotice" w:id="1">
    <w:p w14:paraId="42BDA9A4" w14:textId="77777777" w:rsidR="000760F3" w:rsidRDefault="000760F3">
      <w:pPr>
        <w:spacing w:after="0" w:line="240" w:lineRule="auto"/>
      </w:pPr>
    </w:p>
  </w:footnote>
  <w:footnote w:id="2">
    <w:p w14:paraId="38CA7A50" w14:textId="390EBC51" w:rsidR="001175FF" w:rsidRDefault="001175FF">
      <w:pPr>
        <w:pStyle w:val="FootnoteText"/>
      </w:pPr>
      <w:r>
        <w:rPr>
          <w:rStyle w:val="FootnoteReference"/>
        </w:rPr>
        <w:footnoteRef/>
      </w:r>
      <w:r w:rsidR="00D1162B">
        <w:rPr>
          <w:sz w:val="16"/>
          <w:szCs w:val="16"/>
        </w:rPr>
        <w:t xml:space="preserve"> But showing t</w:t>
      </w:r>
      <w:r w:rsidR="000D2212">
        <w:rPr>
          <w:sz w:val="16"/>
          <w:szCs w:val="16"/>
        </w:rPr>
        <w:t xml:space="preserve">he limitations of this classification in the UK, for example, a personal pension scheme can be viewed as Pillar 3 but a “group personal pension scheme” </w:t>
      </w:r>
      <w:r w:rsidR="00753538">
        <w:rPr>
          <w:sz w:val="16"/>
          <w:szCs w:val="16"/>
        </w:rPr>
        <w:t>which an employer arranges with a personal pension scheme provider (usually an insurance company)</w:t>
      </w:r>
      <w:r w:rsidR="00E606F1">
        <w:rPr>
          <w:sz w:val="16"/>
          <w:szCs w:val="16"/>
        </w:rPr>
        <w:t xml:space="preserve"> and to which the employer contributes in respect of its employees </w:t>
      </w:r>
      <w:r w:rsidR="00FF2ADD">
        <w:rPr>
          <w:sz w:val="16"/>
          <w:szCs w:val="16"/>
        </w:rPr>
        <w:t>can be viewed as Pillar 2.</w:t>
      </w:r>
    </w:p>
  </w:footnote>
  <w:footnote w:id="3">
    <w:p w14:paraId="6A1B5CE8" w14:textId="2ACA4D2C" w:rsidR="00747941" w:rsidRPr="007E1253" w:rsidRDefault="00747941">
      <w:pPr>
        <w:pStyle w:val="FootnoteText"/>
        <w:rPr>
          <w:sz w:val="16"/>
          <w:szCs w:val="16"/>
        </w:rPr>
      </w:pPr>
      <w:r>
        <w:rPr>
          <w:rStyle w:val="FootnoteReference"/>
        </w:rPr>
        <w:footnoteRef/>
      </w:r>
      <w:r>
        <w:t xml:space="preserve"> </w:t>
      </w:r>
      <w:r w:rsidRPr="007E1253">
        <w:rPr>
          <w:sz w:val="16"/>
          <w:szCs w:val="16"/>
        </w:rPr>
        <w:t>See, for example, the definition</w:t>
      </w:r>
      <w:r w:rsidR="007E1253" w:rsidRPr="007E1253">
        <w:rPr>
          <w:sz w:val="16"/>
          <w:szCs w:val="16"/>
        </w:rPr>
        <w:t xml:space="preserve"> in Section 1 of the Pension Schemes Act 1993 (as amended)</w:t>
      </w:r>
      <w:r w:rsidR="007A2035">
        <w:rPr>
          <w:sz w:val="16"/>
          <w:szCs w:val="16"/>
        </w:rPr>
        <w:t>.</w:t>
      </w:r>
      <w:r w:rsidR="00DA2CE1">
        <w:rPr>
          <w:sz w:val="16"/>
          <w:szCs w:val="16"/>
        </w:rPr>
        <w:t xml:space="preserve"> </w:t>
      </w:r>
      <w:hyperlink r:id="rId1" w:history="1">
        <w:r w:rsidR="007A2035" w:rsidRPr="00CF5D38">
          <w:rPr>
            <w:rStyle w:val="Hyperlink"/>
            <w:sz w:val="16"/>
            <w:szCs w:val="16"/>
          </w:rPr>
          <w:t>https://www.legislation.gov.uk/ukpga/1993/48/section/1</w:t>
        </w:r>
      </w:hyperlink>
      <w:r w:rsidR="007A2035">
        <w:rPr>
          <w:sz w:val="16"/>
          <w:szCs w:val="16"/>
        </w:rPr>
        <w:t xml:space="preserve"> </w:t>
      </w:r>
    </w:p>
  </w:footnote>
  <w:footnote w:id="4">
    <w:p w14:paraId="41BADC54" w14:textId="0393942E" w:rsidR="00974153" w:rsidRPr="00974153" w:rsidRDefault="00974153">
      <w:pPr>
        <w:pStyle w:val="FootnoteText"/>
        <w:rPr>
          <w:sz w:val="16"/>
          <w:szCs w:val="16"/>
        </w:rPr>
      </w:pPr>
      <w:r>
        <w:rPr>
          <w:rStyle w:val="FootnoteReference"/>
        </w:rPr>
        <w:footnoteRef/>
      </w:r>
      <w:r>
        <w:t xml:space="preserve"> </w:t>
      </w:r>
      <w:r>
        <w:rPr>
          <w:sz w:val="16"/>
          <w:szCs w:val="16"/>
        </w:rPr>
        <w:t xml:space="preserve">See, for example, the definition of “pension scheme” in </w:t>
      </w:r>
      <w:r w:rsidR="00FF2ADD">
        <w:rPr>
          <w:sz w:val="16"/>
          <w:szCs w:val="16"/>
        </w:rPr>
        <w:t>Article</w:t>
      </w:r>
      <w:r w:rsidR="003079F4">
        <w:rPr>
          <w:sz w:val="16"/>
          <w:szCs w:val="16"/>
        </w:rPr>
        <w:t xml:space="preserve"> 6(2).</w:t>
      </w:r>
    </w:p>
  </w:footnote>
  <w:footnote w:id="5">
    <w:p w14:paraId="566DCFFB" w14:textId="36C99F55" w:rsidR="00C30F53" w:rsidRPr="00C816CD" w:rsidRDefault="00C30F53">
      <w:pPr>
        <w:pStyle w:val="FootnoteText"/>
        <w:rPr>
          <w:sz w:val="12"/>
          <w:szCs w:val="12"/>
        </w:rPr>
      </w:pPr>
      <w:r>
        <w:rPr>
          <w:rStyle w:val="FootnoteReference"/>
        </w:rPr>
        <w:footnoteRef/>
      </w:r>
      <w:r>
        <w:t xml:space="preserve"> </w:t>
      </w:r>
      <w:r w:rsidR="008F5DA3" w:rsidRPr="00C816CD">
        <w:rPr>
          <w:sz w:val="16"/>
          <w:szCs w:val="16"/>
        </w:rPr>
        <w:t>See</w:t>
      </w:r>
      <w:r w:rsidR="00D6344D">
        <w:rPr>
          <w:sz w:val="16"/>
          <w:szCs w:val="16"/>
        </w:rPr>
        <w:t>, for example,</w:t>
      </w:r>
      <w:r w:rsidR="008F5DA3" w:rsidRPr="00C816CD">
        <w:rPr>
          <w:sz w:val="16"/>
          <w:szCs w:val="16"/>
        </w:rPr>
        <w:t xml:space="preserve"> the definition of “pension plan” in the Employee Retirement Income Security Act of </w:t>
      </w:r>
      <w:r w:rsidR="00C816CD" w:rsidRPr="00C816CD">
        <w:rPr>
          <w:sz w:val="16"/>
          <w:szCs w:val="16"/>
        </w:rPr>
        <w:t>1974, Section 3(2)(A) “any plan</w:t>
      </w:r>
      <w:r w:rsidR="00C816CD">
        <w:rPr>
          <w:sz w:val="16"/>
          <w:szCs w:val="16"/>
        </w:rPr>
        <w:t>, fund or program</w:t>
      </w:r>
      <w:r w:rsidR="00765468">
        <w:rPr>
          <w:sz w:val="16"/>
          <w:szCs w:val="16"/>
        </w:rPr>
        <w:t>...established ... by an employer ... to the extent that ... such plan, fund or program</w:t>
      </w:r>
      <w:r w:rsidR="00004259">
        <w:rPr>
          <w:sz w:val="16"/>
          <w:szCs w:val="16"/>
        </w:rPr>
        <w:t xml:space="preserve"> ... provides retirement income to employees”.  </w:t>
      </w:r>
      <w:hyperlink r:id="rId2" w:history="1">
        <w:r w:rsidR="00004259" w:rsidRPr="003B099C">
          <w:rPr>
            <w:rStyle w:val="Hyperlink"/>
            <w:sz w:val="16"/>
            <w:szCs w:val="16"/>
          </w:rPr>
          <w:t>https://www.govinfo.gov/content/pkg/COMPS-896/pdf/COMPS-896.pdf</w:t>
        </w:r>
      </w:hyperlink>
      <w:r w:rsidR="00004259">
        <w:rPr>
          <w:sz w:val="16"/>
          <w:szCs w:val="16"/>
        </w:rPr>
        <w:t xml:space="preserve"> </w:t>
      </w:r>
    </w:p>
  </w:footnote>
  <w:footnote w:id="6">
    <w:p w14:paraId="786A26F5" w14:textId="3BCB2329" w:rsidR="00AE0302" w:rsidRPr="00860ED8" w:rsidRDefault="00AE0302">
      <w:pPr>
        <w:pStyle w:val="FootnoteText"/>
        <w:rPr>
          <w:sz w:val="16"/>
          <w:szCs w:val="16"/>
        </w:rPr>
      </w:pPr>
      <w:r>
        <w:rPr>
          <w:rStyle w:val="FootnoteReference"/>
        </w:rPr>
        <w:footnoteRef/>
      </w:r>
      <w:r w:rsidRPr="009919D9">
        <w:t xml:space="preserve"> </w:t>
      </w:r>
      <w:r w:rsidRPr="009919D9">
        <w:rPr>
          <w:sz w:val="16"/>
          <w:szCs w:val="16"/>
        </w:rPr>
        <w:t>Directive (E</w:t>
      </w:r>
      <w:r w:rsidR="00ED0A82">
        <w:rPr>
          <w:sz w:val="16"/>
          <w:szCs w:val="16"/>
        </w:rPr>
        <w:t>C)</w:t>
      </w:r>
      <w:r w:rsidRPr="009919D9">
        <w:rPr>
          <w:sz w:val="16"/>
          <w:szCs w:val="16"/>
        </w:rPr>
        <w:t xml:space="preserve"> </w:t>
      </w:r>
      <w:r w:rsidR="009919D9" w:rsidRPr="009919D9">
        <w:rPr>
          <w:sz w:val="16"/>
          <w:szCs w:val="16"/>
        </w:rPr>
        <w:t>2016/2341 of the Europea</w:t>
      </w:r>
      <w:r w:rsidR="009919D9">
        <w:rPr>
          <w:sz w:val="16"/>
          <w:szCs w:val="16"/>
        </w:rPr>
        <w:t>n Parliament and of the Council of 14 December 2016 on the activities and supervision of institution for occupational retirement provision</w:t>
      </w:r>
      <w:r w:rsidR="00472CFA">
        <w:rPr>
          <w:sz w:val="16"/>
          <w:szCs w:val="16"/>
        </w:rPr>
        <w:t xml:space="preserve"> (IORPs)</w:t>
      </w:r>
      <w:r w:rsidR="009919D9">
        <w:rPr>
          <w:sz w:val="16"/>
          <w:szCs w:val="16"/>
        </w:rPr>
        <w:t>.</w:t>
      </w:r>
      <w:r w:rsidR="008F5DA3">
        <w:rPr>
          <w:sz w:val="16"/>
          <w:szCs w:val="16"/>
        </w:rPr>
        <w:t xml:space="preserve">  </w:t>
      </w:r>
      <w:hyperlink r:id="rId3" w:history="1">
        <w:r w:rsidR="008F5DA3" w:rsidRPr="00860ED8">
          <w:rPr>
            <w:rStyle w:val="Hyperlink"/>
            <w:sz w:val="16"/>
            <w:szCs w:val="16"/>
          </w:rPr>
          <w:t>https://eur-lex.europa.eu/legal-content/EN/TXT/PDF/?uri=CELEX:32016L2341</w:t>
        </w:r>
      </w:hyperlink>
      <w:r w:rsidR="008F5DA3" w:rsidRPr="00860ED8">
        <w:rPr>
          <w:sz w:val="16"/>
          <w:szCs w:val="16"/>
        </w:rPr>
        <w:t xml:space="preserve"> </w:t>
      </w:r>
    </w:p>
  </w:footnote>
  <w:footnote w:id="7">
    <w:p w14:paraId="6245200B" w14:textId="7D5CFBC4" w:rsidR="0082216A" w:rsidRPr="0082216A" w:rsidRDefault="0082216A">
      <w:pPr>
        <w:pStyle w:val="FootnoteText"/>
        <w:rPr>
          <w:sz w:val="16"/>
          <w:szCs w:val="16"/>
        </w:rPr>
      </w:pPr>
      <w:r>
        <w:rPr>
          <w:rStyle w:val="FootnoteReference"/>
        </w:rPr>
        <w:footnoteRef/>
      </w:r>
      <w:r w:rsidRPr="0082216A">
        <w:t xml:space="preserve"> </w:t>
      </w:r>
      <w:r w:rsidRPr="0082216A">
        <w:rPr>
          <w:sz w:val="16"/>
          <w:szCs w:val="16"/>
        </w:rPr>
        <w:t>See the IORP II Directive A</w:t>
      </w:r>
      <w:r>
        <w:rPr>
          <w:sz w:val="16"/>
          <w:szCs w:val="16"/>
        </w:rPr>
        <w:t xml:space="preserve">rticle </w:t>
      </w:r>
      <w:r w:rsidR="002F5729">
        <w:rPr>
          <w:sz w:val="16"/>
          <w:szCs w:val="16"/>
        </w:rPr>
        <w:t>6(1).</w:t>
      </w:r>
    </w:p>
  </w:footnote>
  <w:footnote w:id="8">
    <w:p w14:paraId="5FA43685" w14:textId="10DC5D0A" w:rsidR="00CB3A4B" w:rsidRPr="00CB3A4B" w:rsidRDefault="00CB3A4B">
      <w:pPr>
        <w:pStyle w:val="FootnoteText"/>
        <w:rPr>
          <w:sz w:val="16"/>
          <w:szCs w:val="16"/>
        </w:rPr>
      </w:pPr>
      <w:r>
        <w:rPr>
          <w:rStyle w:val="FootnoteReference"/>
        </w:rPr>
        <w:footnoteRef/>
      </w:r>
      <w:r w:rsidRPr="00CB3A4B">
        <w:t xml:space="preserve"> </w:t>
      </w:r>
      <w:r w:rsidRPr="00CB3A4B">
        <w:rPr>
          <w:sz w:val="16"/>
          <w:szCs w:val="16"/>
        </w:rPr>
        <w:t>See the IORP II D</w:t>
      </w:r>
      <w:r>
        <w:rPr>
          <w:sz w:val="16"/>
          <w:szCs w:val="16"/>
        </w:rPr>
        <w:t xml:space="preserve">irective, Article 2(2) </w:t>
      </w:r>
      <w:r w:rsidR="008B4EEA">
        <w:rPr>
          <w:sz w:val="16"/>
          <w:szCs w:val="16"/>
        </w:rPr>
        <w:t xml:space="preserve">(in particular Article 2(2)(c) </w:t>
      </w:r>
      <w:r w:rsidR="00C3257A">
        <w:rPr>
          <w:sz w:val="16"/>
          <w:szCs w:val="16"/>
        </w:rPr>
        <w:t>(</w:t>
      </w:r>
      <w:r w:rsidR="008B4EEA">
        <w:rPr>
          <w:sz w:val="16"/>
          <w:szCs w:val="16"/>
        </w:rPr>
        <w:t>institutions which operate on a pay-as-you-go basis</w:t>
      </w:r>
      <w:r w:rsidR="007259B8">
        <w:rPr>
          <w:sz w:val="16"/>
          <w:szCs w:val="16"/>
        </w:rPr>
        <w:t>)</w:t>
      </w:r>
      <w:r w:rsidR="00C3257A">
        <w:rPr>
          <w:sz w:val="16"/>
          <w:szCs w:val="16"/>
        </w:rPr>
        <w:t>)</w:t>
      </w:r>
      <w:r w:rsidR="007259B8">
        <w:rPr>
          <w:sz w:val="16"/>
          <w:szCs w:val="16"/>
        </w:rPr>
        <w:t xml:space="preserve"> and Article 2(2)(e) (companies using book reserve schemes with a view to paying out retirement benefits to their employers) and </w:t>
      </w:r>
      <w:r w:rsidR="00C3257A">
        <w:rPr>
          <w:sz w:val="16"/>
          <w:szCs w:val="16"/>
        </w:rPr>
        <w:t>Article 2(2)(a) (institutions operating social security schemes).</w:t>
      </w:r>
    </w:p>
  </w:footnote>
  <w:footnote w:id="9">
    <w:p w14:paraId="113DC5FB" w14:textId="77777777" w:rsidR="00917095" w:rsidRDefault="00917095">
      <w:pPr>
        <w:pStyle w:val="FootnoteText"/>
      </w:pPr>
      <w:r>
        <w:rPr>
          <w:rStyle w:val="FootnoteReference"/>
        </w:rPr>
        <w:footnoteRef/>
      </w:r>
      <w:r>
        <w:t xml:space="preserve"> </w:t>
      </w:r>
      <w:r>
        <w:rPr>
          <w:sz w:val="16"/>
          <w:szCs w:val="16"/>
        </w:rPr>
        <w:t>See, for example,  the exclusion in Article 9(2)  the Solvency II Directive (Directive 2009/138/EC) and also Article 4 of the IORP II Directive.</w:t>
      </w:r>
    </w:p>
  </w:footnote>
  <w:footnote w:id="10">
    <w:p w14:paraId="651166DA" w14:textId="48ABDAE7" w:rsidR="00976228" w:rsidRPr="00784972" w:rsidRDefault="00976228">
      <w:pPr>
        <w:pStyle w:val="FootnoteText"/>
        <w:rPr>
          <w:sz w:val="16"/>
          <w:szCs w:val="16"/>
        </w:rPr>
      </w:pPr>
      <w:r>
        <w:rPr>
          <w:rStyle w:val="FootnoteReference"/>
        </w:rPr>
        <w:footnoteRef/>
      </w:r>
      <w:r w:rsidRPr="00976228">
        <w:t xml:space="preserve"> </w:t>
      </w:r>
      <w:r w:rsidRPr="00784972">
        <w:rPr>
          <w:sz w:val="16"/>
          <w:szCs w:val="16"/>
        </w:rPr>
        <w:t>Directive 2009/138/EC of the European Parliament and of the Council of 25 November 2009 on the taking-up and pursuit of the business of Insurance and Re</w:t>
      </w:r>
      <w:r w:rsidR="00784972" w:rsidRPr="00784972">
        <w:rPr>
          <w:sz w:val="16"/>
          <w:szCs w:val="16"/>
        </w:rPr>
        <w:t>insurance (Insolvency II).</w:t>
      </w:r>
      <w:r w:rsidR="00784972">
        <w:rPr>
          <w:sz w:val="16"/>
          <w:szCs w:val="16"/>
        </w:rPr>
        <w:t xml:space="preserve">  </w:t>
      </w:r>
      <w:hyperlink r:id="rId4" w:history="1">
        <w:r w:rsidR="00784972" w:rsidRPr="003B099C">
          <w:rPr>
            <w:rStyle w:val="Hyperlink"/>
            <w:sz w:val="16"/>
            <w:szCs w:val="16"/>
          </w:rPr>
          <w:t>https://www.govinfo.gov/content/pkg/COMPS-896/pdf/COMPS-896.pdf</w:t>
        </w:r>
      </w:hyperlink>
      <w:r w:rsidR="00784972">
        <w:rPr>
          <w:sz w:val="16"/>
          <w:szCs w:val="16"/>
        </w:rPr>
        <w:t xml:space="preserve"> </w:t>
      </w:r>
      <w:r w:rsidR="00860ED8">
        <w:rPr>
          <w:sz w:val="16"/>
          <w:szCs w:val="16"/>
        </w:rPr>
        <w:t>.</w:t>
      </w:r>
    </w:p>
  </w:footnote>
  <w:footnote w:id="11">
    <w:p w14:paraId="67599A1A" w14:textId="17E928A1" w:rsidR="00362AF1" w:rsidRPr="00362AF1" w:rsidRDefault="00362AF1">
      <w:pPr>
        <w:pStyle w:val="FootnoteText"/>
        <w:rPr>
          <w:sz w:val="16"/>
          <w:szCs w:val="16"/>
        </w:rPr>
      </w:pPr>
      <w:r>
        <w:rPr>
          <w:rStyle w:val="FootnoteReference"/>
        </w:rPr>
        <w:footnoteRef/>
      </w:r>
      <w:r w:rsidRPr="00362AF1">
        <w:t xml:space="preserve"> </w:t>
      </w:r>
      <w:r w:rsidRPr="00362AF1">
        <w:rPr>
          <w:sz w:val="16"/>
          <w:szCs w:val="16"/>
        </w:rPr>
        <w:t>See the IORP II D</w:t>
      </w:r>
      <w:r>
        <w:rPr>
          <w:sz w:val="16"/>
          <w:szCs w:val="16"/>
        </w:rPr>
        <w:t>irective, Article 15.</w:t>
      </w:r>
    </w:p>
  </w:footnote>
  <w:footnote w:id="12">
    <w:p w14:paraId="549BAF41" w14:textId="410C34CE" w:rsidR="004E7801" w:rsidRPr="008724E9" w:rsidRDefault="004E7801">
      <w:pPr>
        <w:pStyle w:val="FootnoteText"/>
        <w:rPr>
          <w:sz w:val="16"/>
          <w:szCs w:val="16"/>
          <w:lang w:val="fr-FR"/>
        </w:rPr>
      </w:pPr>
      <w:r>
        <w:rPr>
          <w:rStyle w:val="FootnoteReference"/>
        </w:rPr>
        <w:footnoteRef/>
      </w:r>
      <w:r w:rsidRPr="008724E9">
        <w:rPr>
          <w:lang w:val="fr-FR"/>
        </w:rPr>
        <w:t xml:space="preserve"> </w:t>
      </w:r>
      <w:r w:rsidR="008724E9" w:rsidRPr="008724E9">
        <w:rPr>
          <w:sz w:val="16"/>
          <w:szCs w:val="16"/>
          <w:lang w:val="fr-FR"/>
        </w:rPr>
        <w:t>Association Générale des Institutions de Retraite des Cadres</w:t>
      </w:r>
      <w:r w:rsidR="00434F2A">
        <w:rPr>
          <w:sz w:val="16"/>
          <w:szCs w:val="16"/>
          <w:lang w:val="fr-FR"/>
        </w:rPr>
        <w:t>.</w:t>
      </w:r>
    </w:p>
  </w:footnote>
  <w:footnote w:id="13">
    <w:p w14:paraId="1664F1F2" w14:textId="0C52A4D8" w:rsidR="0069186B" w:rsidRPr="006907B7" w:rsidRDefault="0069186B">
      <w:pPr>
        <w:pStyle w:val="FootnoteText"/>
        <w:rPr>
          <w:sz w:val="16"/>
          <w:szCs w:val="16"/>
          <w:lang w:val="fr-FR"/>
        </w:rPr>
      </w:pPr>
      <w:r>
        <w:rPr>
          <w:rStyle w:val="FootnoteReference"/>
        </w:rPr>
        <w:footnoteRef/>
      </w:r>
      <w:r w:rsidRPr="006907B7">
        <w:rPr>
          <w:lang w:val="fr-FR"/>
        </w:rPr>
        <w:t xml:space="preserve"> </w:t>
      </w:r>
      <w:r w:rsidRPr="006907B7">
        <w:rPr>
          <w:sz w:val="16"/>
          <w:szCs w:val="16"/>
          <w:lang w:val="fr-FR"/>
        </w:rPr>
        <w:t xml:space="preserve">Association des </w:t>
      </w:r>
      <w:r w:rsidR="006907B7" w:rsidRPr="006907B7">
        <w:rPr>
          <w:sz w:val="16"/>
          <w:szCs w:val="16"/>
          <w:lang w:val="fr-FR"/>
        </w:rPr>
        <w:t>R</w:t>
      </w:r>
      <w:r w:rsidR="006907B7" w:rsidRPr="008724E9">
        <w:rPr>
          <w:sz w:val="16"/>
          <w:szCs w:val="16"/>
          <w:lang w:val="fr-FR"/>
        </w:rPr>
        <w:t>é</w:t>
      </w:r>
      <w:r w:rsidR="006907B7" w:rsidRPr="006907B7">
        <w:rPr>
          <w:sz w:val="16"/>
          <w:szCs w:val="16"/>
          <w:lang w:val="fr-FR"/>
        </w:rPr>
        <w:t xml:space="preserve">gimes de Retraite </w:t>
      </w:r>
      <w:r w:rsidR="006907B7">
        <w:rPr>
          <w:sz w:val="16"/>
          <w:szCs w:val="16"/>
          <w:lang w:val="fr-FR"/>
        </w:rPr>
        <w:t>Compl</w:t>
      </w:r>
      <w:r w:rsidR="006907B7" w:rsidRPr="008724E9">
        <w:rPr>
          <w:sz w:val="16"/>
          <w:szCs w:val="16"/>
          <w:lang w:val="fr-FR"/>
        </w:rPr>
        <w:t>é</w:t>
      </w:r>
      <w:r w:rsidR="006907B7">
        <w:rPr>
          <w:sz w:val="16"/>
          <w:szCs w:val="16"/>
          <w:lang w:val="fr-FR"/>
        </w:rPr>
        <w:t>mentaires</w:t>
      </w:r>
      <w:r w:rsidR="00434F2A">
        <w:rPr>
          <w:sz w:val="16"/>
          <w:szCs w:val="16"/>
          <w:lang w:val="fr-FR"/>
        </w:rPr>
        <w:t>.</w:t>
      </w:r>
    </w:p>
  </w:footnote>
  <w:footnote w:id="14">
    <w:p w14:paraId="5A50DA80" w14:textId="2E466B77" w:rsidR="000113E2" w:rsidRPr="000113E2" w:rsidRDefault="000113E2">
      <w:pPr>
        <w:pStyle w:val="FootnoteText"/>
        <w:rPr>
          <w:sz w:val="16"/>
          <w:szCs w:val="16"/>
        </w:rPr>
      </w:pPr>
      <w:r>
        <w:rPr>
          <w:rStyle w:val="FootnoteReference"/>
        </w:rPr>
        <w:footnoteRef/>
      </w:r>
      <w:r>
        <w:t xml:space="preserve"> </w:t>
      </w:r>
      <w:r>
        <w:rPr>
          <w:sz w:val="16"/>
          <w:szCs w:val="16"/>
        </w:rPr>
        <w:t xml:space="preserve">It is also possible to have an unfunded notional DC plan where the amount to be paid out by the </w:t>
      </w:r>
      <w:r w:rsidR="00E6072E">
        <w:rPr>
          <w:sz w:val="16"/>
          <w:szCs w:val="16"/>
        </w:rPr>
        <w:t>e</w:t>
      </w:r>
      <w:r>
        <w:rPr>
          <w:sz w:val="16"/>
          <w:szCs w:val="16"/>
        </w:rPr>
        <w:t xml:space="preserve">mployer at retirement is determined by reference to notional contribution </w:t>
      </w:r>
      <w:r w:rsidR="00E6072E">
        <w:rPr>
          <w:sz w:val="16"/>
          <w:szCs w:val="16"/>
        </w:rPr>
        <w:t xml:space="preserve">amounts and the assumed investment return on </w:t>
      </w:r>
      <w:r w:rsidR="002E302F">
        <w:rPr>
          <w:sz w:val="16"/>
          <w:szCs w:val="16"/>
        </w:rPr>
        <w:t>those notional contributions by reference to a particular investment index</w:t>
      </w:r>
      <w:r w:rsidR="000D3CC5">
        <w:rPr>
          <w:sz w:val="16"/>
          <w:szCs w:val="16"/>
        </w:rPr>
        <w:t xml:space="preserve"> or notional investment portfolio.</w:t>
      </w:r>
    </w:p>
  </w:footnote>
  <w:footnote w:id="15">
    <w:p w14:paraId="702B77C2" w14:textId="33CD81F4" w:rsidR="0042588E" w:rsidRPr="008E7811" w:rsidRDefault="0042588E">
      <w:pPr>
        <w:pStyle w:val="FootnoteText"/>
        <w:rPr>
          <w:sz w:val="16"/>
          <w:szCs w:val="16"/>
          <w:lang w:val="en-US"/>
        </w:rPr>
      </w:pPr>
      <w:r w:rsidRPr="008E7811">
        <w:rPr>
          <w:rStyle w:val="FootnoteReference"/>
          <w:sz w:val="16"/>
          <w:szCs w:val="16"/>
        </w:rPr>
        <w:footnoteRef/>
      </w:r>
      <w:r w:rsidRPr="008E7811">
        <w:rPr>
          <w:sz w:val="16"/>
          <w:szCs w:val="16"/>
        </w:rPr>
        <w:t xml:space="preserve"> </w:t>
      </w:r>
      <w:bookmarkStart w:id="1" w:name="OLE_LINK7"/>
      <w:r w:rsidRPr="008E7811">
        <w:rPr>
          <w:sz w:val="16"/>
          <w:szCs w:val="16"/>
          <w:lang w:val="en-US"/>
        </w:rPr>
        <w:t>See section 414(i) of the Internal Revenue Code, 26 U.S.C. §414(i).</w:t>
      </w:r>
      <w:bookmarkEnd w:id="1"/>
    </w:p>
  </w:footnote>
  <w:footnote w:id="16">
    <w:p w14:paraId="50907EE4" w14:textId="7B0694D6" w:rsidR="0042588E" w:rsidRPr="008E7811" w:rsidRDefault="0042588E">
      <w:pPr>
        <w:pStyle w:val="FootnoteText"/>
        <w:rPr>
          <w:lang w:val="en-US"/>
        </w:rPr>
      </w:pPr>
      <w:r>
        <w:rPr>
          <w:rStyle w:val="FootnoteReference"/>
        </w:rPr>
        <w:footnoteRef/>
      </w:r>
      <w:r>
        <w:t xml:space="preserve"> </w:t>
      </w:r>
      <w:r>
        <w:rPr>
          <w:sz w:val="16"/>
          <w:szCs w:val="16"/>
          <w:lang w:val="en-US"/>
        </w:rPr>
        <w:t>See section 414(j) of the Internal Revenue Code, 26 U.S.C. §414(j).</w:t>
      </w:r>
    </w:p>
  </w:footnote>
  <w:footnote w:id="17">
    <w:p w14:paraId="49D24EA5" w14:textId="1D11BC38" w:rsidR="001333AF" w:rsidRDefault="001333AF">
      <w:pPr>
        <w:pStyle w:val="FootnoteText"/>
      </w:pPr>
      <w:r>
        <w:rPr>
          <w:rStyle w:val="FootnoteReference"/>
        </w:rPr>
        <w:footnoteRef/>
      </w:r>
      <w:r>
        <w:t xml:space="preserve"> </w:t>
      </w:r>
      <w:r>
        <w:rPr>
          <w:sz w:val="16"/>
          <w:szCs w:val="16"/>
        </w:rPr>
        <w:t>See</w:t>
      </w:r>
      <w:r w:rsidR="00F15449">
        <w:rPr>
          <w:sz w:val="16"/>
          <w:szCs w:val="16"/>
        </w:rPr>
        <w:t>,</w:t>
      </w:r>
      <w:r>
        <w:rPr>
          <w:sz w:val="16"/>
          <w:szCs w:val="16"/>
        </w:rPr>
        <w:t xml:space="preserve"> for example</w:t>
      </w:r>
      <w:r w:rsidR="00F15449">
        <w:rPr>
          <w:sz w:val="16"/>
          <w:szCs w:val="16"/>
        </w:rPr>
        <w:t>, the definition of “money purchase benefit” in the Pension Schemes Act 1993, Section 181</w:t>
      </w:r>
      <w:r w:rsidR="007B7CAE">
        <w:rPr>
          <w:sz w:val="16"/>
          <w:szCs w:val="16"/>
        </w:rPr>
        <w:t xml:space="preserve">. </w:t>
      </w:r>
      <w:hyperlink r:id="rId5" w:history="1">
        <w:r w:rsidR="000D4954" w:rsidRPr="00CF5D38">
          <w:rPr>
            <w:rStyle w:val="Hyperlink"/>
            <w:sz w:val="16"/>
            <w:szCs w:val="16"/>
          </w:rPr>
          <w:t>https://www.legislation.gov.uk/ukpga/1993/48/section/181</w:t>
        </w:r>
      </w:hyperlink>
      <w:r w:rsidR="000D4954">
        <w:rPr>
          <w:sz w:val="16"/>
          <w:szCs w:val="16"/>
        </w:rPr>
        <w:t xml:space="preserve"> </w:t>
      </w:r>
    </w:p>
  </w:footnote>
  <w:footnote w:id="18">
    <w:p w14:paraId="48B8D328" w14:textId="645DA41E" w:rsidR="0093515C" w:rsidRDefault="0093515C">
      <w:pPr>
        <w:pStyle w:val="FootnoteText"/>
      </w:pPr>
      <w:r>
        <w:rPr>
          <w:rStyle w:val="FootnoteReference"/>
        </w:rPr>
        <w:footnoteRef/>
      </w:r>
      <w:r>
        <w:t xml:space="preserve"> </w:t>
      </w:r>
      <w:r w:rsidR="00457B6B">
        <w:rPr>
          <w:sz w:val="16"/>
          <w:szCs w:val="16"/>
        </w:rPr>
        <w:t>See, for example, the</w:t>
      </w:r>
      <w:r>
        <w:rPr>
          <w:sz w:val="16"/>
          <w:szCs w:val="16"/>
        </w:rPr>
        <w:t xml:space="preserve"> Pensions Act 1995, Section 34. </w:t>
      </w:r>
      <w:hyperlink r:id="rId6" w:history="1">
        <w:r w:rsidR="00783CED" w:rsidRPr="00CF5D38">
          <w:rPr>
            <w:rStyle w:val="Hyperlink"/>
            <w:sz w:val="16"/>
            <w:szCs w:val="16"/>
          </w:rPr>
          <w:t>https://www.legislation.gov.uk/ukpga/1995/26/section/34/enacted</w:t>
        </w:r>
      </w:hyperlink>
      <w:r w:rsidR="00783CED">
        <w:rPr>
          <w:sz w:val="16"/>
          <w:szCs w:val="16"/>
        </w:rPr>
        <w:t xml:space="preserve"> </w:t>
      </w:r>
    </w:p>
  </w:footnote>
  <w:footnote w:id="19">
    <w:p w14:paraId="61A6BC1F" w14:textId="141451CE" w:rsidR="00DC10CA" w:rsidRPr="008E7811" w:rsidRDefault="00DC10CA">
      <w:pPr>
        <w:pStyle w:val="FootnoteText"/>
        <w:rPr>
          <w:sz w:val="16"/>
          <w:szCs w:val="16"/>
          <w:lang w:val="en-US"/>
        </w:rPr>
      </w:pPr>
      <w:r w:rsidRPr="008E7811">
        <w:rPr>
          <w:rStyle w:val="FootnoteReference"/>
          <w:sz w:val="16"/>
          <w:szCs w:val="16"/>
        </w:rPr>
        <w:footnoteRef/>
      </w:r>
      <w:r w:rsidRPr="008E7811">
        <w:rPr>
          <w:sz w:val="16"/>
          <w:szCs w:val="16"/>
        </w:rPr>
        <w:t xml:space="preserve"> </w:t>
      </w:r>
      <w:r w:rsidRPr="008E7811">
        <w:rPr>
          <w:sz w:val="16"/>
          <w:szCs w:val="16"/>
          <w:lang w:val="en-US"/>
        </w:rPr>
        <w:t xml:space="preserve">In the US, employee contributions to a DB pension plan generally are not tax deductible.  However, employee contributions made to governmental plans that meet specific conditions can be structured to be tax deductible. </w:t>
      </w:r>
    </w:p>
  </w:footnote>
  <w:footnote w:id="20">
    <w:p w14:paraId="054FDE86" w14:textId="2F220450" w:rsidR="001D0297" w:rsidRPr="001D0297" w:rsidRDefault="001D0297">
      <w:pPr>
        <w:pStyle w:val="FootnoteText"/>
        <w:rPr>
          <w:sz w:val="16"/>
          <w:szCs w:val="16"/>
        </w:rPr>
      </w:pPr>
      <w:r>
        <w:rPr>
          <w:rStyle w:val="FootnoteReference"/>
        </w:rPr>
        <w:footnoteRef/>
      </w:r>
      <w:r>
        <w:t xml:space="preserve"> </w:t>
      </w:r>
      <w:r w:rsidRPr="001D0297">
        <w:rPr>
          <w:rFonts w:ascii="Calibri" w:hAnsi="Calibri" w:cs="Calibri"/>
          <w:sz w:val="16"/>
          <w:szCs w:val="16"/>
        </w:rPr>
        <w:t>Note, however, that, in Belgium, that an individual’s Pillar 2 retirement benefits are almost always paid out as a pension capital lump sum.</w:t>
      </w:r>
    </w:p>
  </w:footnote>
  <w:footnote w:id="21">
    <w:p w14:paraId="394168B6" w14:textId="77777777" w:rsidR="00752153" w:rsidRPr="0080336F" w:rsidRDefault="00752153" w:rsidP="00752153">
      <w:pPr>
        <w:pStyle w:val="FootnoteText"/>
        <w:rPr>
          <w:sz w:val="16"/>
          <w:szCs w:val="16"/>
        </w:rPr>
      </w:pPr>
      <w:r>
        <w:rPr>
          <w:rStyle w:val="FootnoteReference"/>
        </w:rPr>
        <w:footnoteRef/>
      </w:r>
      <w:r>
        <w:t xml:space="preserve"> </w:t>
      </w:r>
      <w:r>
        <w:rPr>
          <w:sz w:val="16"/>
          <w:szCs w:val="16"/>
        </w:rPr>
        <w:t xml:space="preserve">For EU and UK listed companies the accounting standard is IAS19.  For US companies it </w:t>
      </w:r>
      <w:r w:rsidRPr="00235FF4">
        <w:rPr>
          <w:sz w:val="16"/>
          <w:szCs w:val="16"/>
        </w:rPr>
        <w:t xml:space="preserve">is </w:t>
      </w:r>
      <w:r w:rsidRPr="000113E2">
        <w:rPr>
          <w:sz w:val="16"/>
          <w:szCs w:val="16"/>
        </w:rPr>
        <w:t>FASB ASC 715</w:t>
      </w:r>
      <w:r>
        <w:rPr>
          <w:sz w:val="16"/>
          <w:szCs w:val="16"/>
        </w:rPr>
        <w:t>.</w:t>
      </w:r>
    </w:p>
  </w:footnote>
  <w:footnote w:id="22">
    <w:p w14:paraId="1C75EB2C" w14:textId="4FF6B840" w:rsidR="00642581" w:rsidRDefault="00642581">
      <w:pPr>
        <w:pStyle w:val="FootnoteText"/>
      </w:pPr>
      <w:r>
        <w:rPr>
          <w:rStyle w:val="FootnoteReference"/>
        </w:rPr>
        <w:footnoteRef/>
      </w:r>
      <w:r>
        <w:t xml:space="preserve"> </w:t>
      </w:r>
      <w:r w:rsidR="007D4682" w:rsidRPr="007D4682">
        <w:rPr>
          <w:sz w:val="16"/>
          <w:szCs w:val="16"/>
        </w:rPr>
        <w:t>The Occupational Pension Schemes (Funding and Investment Strategy and Amendment) Regulations 2024</w:t>
      </w:r>
      <w:r w:rsidR="007D4682">
        <w:rPr>
          <w:sz w:val="16"/>
          <w:szCs w:val="16"/>
        </w:rPr>
        <w:t xml:space="preserve"> which apply to valuation dates on or after 22</w:t>
      </w:r>
      <w:r w:rsidR="007D4682" w:rsidRPr="007D4682">
        <w:rPr>
          <w:sz w:val="16"/>
          <w:szCs w:val="16"/>
          <w:vertAlign w:val="superscript"/>
        </w:rPr>
        <w:t>nd</w:t>
      </w:r>
      <w:r w:rsidR="007D4682">
        <w:rPr>
          <w:sz w:val="16"/>
          <w:szCs w:val="16"/>
        </w:rPr>
        <w:t xml:space="preserve"> </w:t>
      </w:r>
      <w:r w:rsidR="008D04DB">
        <w:rPr>
          <w:sz w:val="16"/>
          <w:szCs w:val="16"/>
        </w:rPr>
        <w:t xml:space="preserve">September, 2024. </w:t>
      </w:r>
      <w:hyperlink r:id="rId7" w:history="1">
        <w:r w:rsidR="002518D8" w:rsidRPr="00CF5D38">
          <w:rPr>
            <w:rStyle w:val="Hyperlink"/>
            <w:sz w:val="16"/>
            <w:szCs w:val="16"/>
          </w:rPr>
          <w:t>https://www.legislation.gov.uk/uksi/2024/462/made</w:t>
        </w:r>
      </w:hyperlink>
      <w:r w:rsidR="002518D8">
        <w:rPr>
          <w:sz w:val="16"/>
          <w:szCs w:val="16"/>
        </w:rPr>
        <w:t xml:space="preserve"> </w:t>
      </w:r>
    </w:p>
  </w:footnote>
  <w:footnote w:id="23">
    <w:p w14:paraId="31AEB5E2" w14:textId="2A5F866C" w:rsidR="008F45D7" w:rsidRPr="006F6A9F" w:rsidRDefault="008F45D7">
      <w:pPr>
        <w:pStyle w:val="FootnoteText"/>
        <w:rPr>
          <w:sz w:val="16"/>
          <w:szCs w:val="16"/>
          <w:lang w:val="en-US"/>
        </w:rPr>
      </w:pPr>
      <w:r w:rsidRPr="006F6A9F">
        <w:rPr>
          <w:rStyle w:val="FootnoteReference"/>
          <w:sz w:val="16"/>
          <w:szCs w:val="16"/>
        </w:rPr>
        <w:footnoteRef/>
      </w:r>
      <w:r w:rsidRPr="006F6A9F">
        <w:rPr>
          <w:sz w:val="16"/>
          <w:szCs w:val="16"/>
        </w:rPr>
        <w:t xml:space="preserve"> </w:t>
      </w:r>
      <w:r w:rsidRPr="006F6A9F">
        <w:rPr>
          <w:sz w:val="16"/>
          <w:szCs w:val="16"/>
          <w:lang w:val="en-US"/>
        </w:rPr>
        <w:t xml:space="preserve">In the US, anticipated relatively imminent failures of a number of </w:t>
      </w:r>
      <w:r w:rsidRPr="006F6A9F">
        <w:rPr>
          <w:sz w:val="16"/>
          <w:szCs w:val="16"/>
          <w:lang w:val="en-US"/>
        </w:rPr>
        <w:t xml:space="preserve">multiemployer pension plans led to passage of the American Rescue Plan Act of 2021 (ARPA), which included a provision allowing financially distressed multiemployer pension plans to apply to the Pension Benefit Guaranty Corporation (PBGC) for special financial assistance (that in total is expected to be </w:t>
      </w:r>
      <w:r>
        <w:rPr>
          <w:sz w:val="16"/>
          <w:szCs w:val="16"/>
          <w:lang w:val="en-US"/>
        </w:rPr>
        <w:t xml:space="preserve">approximately </w:t>
      </w:r>
      <w:r w:rsidRPr="00910661">
        <w:rPr>
          <w:sz w:val="16"/>
          <w:szCs w:val="16"/>
          <w:lang w:val="en-US"/>
        </w:rPr>
        <w:t>$</w:t>
      </w:r>
      <w:r>
        <w:rPr>
          <w:sz w:val="16"/>
          <w:szCs w:val="16"/>
          <w:lang w:val="en-US"/>
        </w:rPr>
        <w:t>9</w:t>
      </w:r>
      <w:r w:rsidRPr="006F6A9F">
        <w:rPr>
          <w:sz w:val="16"/>
          <w:szCs w:val="16"/>
          <w:lang w:val="en-US"/>
        </w:rPr>
        <w:t>0 billion</w:t>
      </w:r>
      <w:r>
        <w:rPr>
          <w:sz w:val="16"/>
          <w:szCs w:val="16"/>
          <w:lang w:val="en-US"/>
        </w:rPr>
        <w:t xml:space="preserve"> in assistance over the 2022-2023 period</w:t>
      </w:r>
      <w:r w:rsidRPr="006F6A9F">
        <w:rPr>
          <w:sz w:val="16"/>
          <w:szCs w:val="16"/>
          <w:lang w:val="en-US"/>
        </w:rPr>
        <w:t xml:space="preserve">). </w:t>
      </w:r>
    </w:p>
  </w:footnote>
  <w:footnote w:id="24">
    <w:p w14:paraId="0998FC25" w14:textId="3A410C0B" w:rsidR="003243C4" w:rsidRPr="004D0BA8" w:rsidRDefault="003243C4">
      <w:pPr>
        <w:pStyle w:val="FootnoteText"/>
        <w:rPr>
          <w:rFonts w:cs="Calibri"/>
          <w:sz w:val="16"/>
          <w:szCs w:val="16"/>
          <w:lang w:val="fr-FR"/>
        </w:rPr>
      </w:pPr>
      <w:r w:rsidRPr="00AB44BC">
        <w:rPr>
          <w:rStyle w:val="FootnoteReference"/>
          <w:sz w:val="16"/>
          <w:szCs w:val="16"/>
        </w:rPr>
        <w:footnoteRef/>
      </w:r>
      <w:r w:rsidRPr="004D0BA8">
        <w:rPr>
          <w:sz w:val="16"/>
          <w:szCs w:val="16"/>
          <w:lang w:val="fr-FR"/>
        </w:rPr>
        <w:t xml:space="preserve"> </w:t>
      </w:r>
      <w:r w:rsidRPr="004D0BA8">
        <w:rPr>
          <w:rFonts w:cs="Calibri"/>
          <w:sz w:val="16"/>
          <w:szCs w:val="16"/>
          <w:lang w:val="fr-FR"/>
        </w:rPr>
        <w:t xml:space="preserve">Expressed as an </w:t>
      </w:r>
      <w:r w:rsidRPr="004D0BA8">
        <w:rPr>
          <w:rFonts w:cs="Calibri"/>
          <w:sz w:val="16"/>
          <w:szCs w:val="16"/>
          <w:lang w:val="fr-FR"/>
        </w:rPr>
        <w:t>annual amount</w:t>
      </w:r>
    </w:p>
  </w:footnote>
  <w:footnote w:id="25">
    <w:p w14:paraId="19407803" w14:textId="66BCFBAB" w:rsidR="008C2754" w:rsidRPr="004D0BA8" w:rsidRDefault="008C2754">
      <w:pPr>
        <w:pStyle w:val="FootnoteText"/>
        <w:rPr>
          <w:rFonts w:cs="Calibri"/>
          <w:sz w:val="16"/>
          <w:szCs w:val="16"/>
          <w:lang w:val="fr-FR"/>
        </w:rPr>
      </w:pPr>
      <w:r w:rsidRPr="00AB44BC">
        <w:rPr>
          <w:rStyle w:val="FootnoteReference"/>
          <w:sz w:val="16"/>
          <w:szCs w:val="16"/>
        </w:rPr>
        <w:footnoteRef/>
      </w:r>
      <w:r w:rsidRPr="004D0BA8">
        <w:rPr>
          <w:sz w:val="16"/>
          <w:szCs w:val="16"/>
          <w:lang w:val="fr-FR"/>
        </w:rPr>
        <w:t xml:space="preserve"> F</w:t>
      </w:r>
      <w:r w:rsidR="00AE7914" w:rsidRPr="004D0BA8">
        <w:rPr>
          <w:sz w:val="16"/>
          <w:szCs w:val="16"/>
          <w:lang w:val="fr-FR"/>
        </w:rPr>
        <w:t>onds de Retraite Professionnelle Suppl</w:t>
      </w:r>
      <w:r w:rsidR="00807F1C" w:rsidRPr="004D0BA8">
        <w:rPr>
          <w:sz w:val="16"/>
          <w:szCs w:val="16"/>
          <w:lang w:val="fr-FR"/>
        </w:rPr>
        <w:t>é</w:t>
      </w:r>
      <w:r w:rsidR="00AE7914" w:rsidRPr="004D0BA8">
        <w:rPr>
          <w:sz w:val="16"/>
          <w:szCs w:val="16"/>
          <w:lang w:val="fr-FR"/>
        </w:rPr>
        <w:t>mentaire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EBC"/>
    <w:multiLevelType w:val="hybridMultilevel"/>
    <w:tmpl w:val="1D8AB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47872"/>
    <w:multiLevelType w:val="hybridMultilevel"/>
    <w:tmpl w:val="2030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95634"/>
    <w:multiLevelType w:val="hybridMultilevel"/>
    <w:tmpl w:val="84240068"/>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3" w15:restartNumberingAfterBreak="0">
    <w:nsid w:val="0BEA535D"/>
    <w:multiLevelType w:val="hybridMultilevel"/>
    <w:tmpl w:val="AE0C8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4723"/>
    <w:multiLevelType w:val="hybridMultilevel"/>
    <w:tmpl w:val="7662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145A"/>
    <w:multiLevelType w:val="hybridMultilevel"/>
    <w:tmpl w:val="21145B1C"/>
    <w:lvl w:ilvl="0" w:tplc="0809000B">
      <w:start w:val="1"/>
      <w:numFmt w:val="bullet"/>
      <w:lvlText w:val=""/>
      <w:lvlJc w:val="left"/>
      <w:pPr>
        <w:ind w:left="2517" w:hanging="360"/>
      </w:pPr>
      <w:rPr>
        <w:rFonts w:ascii="Wingdings" w:hAnsi="Wingdings"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6" w15:restartNumberingAfterBreak="0">
    <w:nsid w:val="1697454E"/>
    <w:multiLevelType w:val="hybridMultilevel"/>
    <w:tmpl w:val="EAF417BC"/>
    <w:lvl w:ilvl="0" w:tplc="DB8ACB2E">
      <w:start w:val="1"/>
      <w:numFmt w:val="bullet"/>
      <w:lvlText w:val=""/>
      <w:lvlJc w:val="left"/>
      <w:pPr>
        <w:ind w:left="720" w:hanging="360"/>
      </w:pPr>
      <w:rPr>
        <w:rFonts w:ascii="Symbol" w:hAnsi="Symbol"/>
      </w:rPr>
    </w:lvl>
    <w:lvl w:ilvl="1" w:tplc="261C48DA">
      <w:start w:val="1"/>
      <w:numFmt w:val="bullet"/>
      <w:lvlText w:val=""/>
      <w:lvlJc w:val="left"/>
      <w:pPr>
        <w:ind w:left="720" w:hanging="360"/>
      </w:pPr>
      <w:rPr>
        <w:rFonts w:ascii="Symbol" w:hAnsi="Symbol"/>
      </w:rPr>
    </w:lvl>
    <w:lvl w:ilvl="2" w:tplc="5F92DDA8">
      <w:start w:val="1"/>
      <w:numFmt w:val="bullet"/>
      <w:lvlText w:val=""/>
      <w:lvlJc w:val="left"/>
      <w:pPr>
        <w:ind w:left="720" w:hanging="360"/>
      </w:pPr>
      <w:rPr>
        <w:rFonts w:ascii="Symbol" w:hAnsi="Symbol"/>
      </w:rPr>
    </w:lvl>
    <w:lvl w:ilvl="3" w:tplc="2CD693B4">
      <w:start w:val="1"/>
      <w:numFmt w:val="bullet"/>
      <w:lvlText w:val=""/>
      <w:lvlJc w:val="left"/>
      <w:pPr>
        <w:ind w:left="720" w:hanging="360"/>
      </w:pPr>
      <w:rPr>
        <w:rFonts w:ascii="Symbol" w:hAnsi="Symbol"/>
      </w:rPr>
    </w:lvl>
    <w:lvl w:ilvl="4" w:tplc="F7E6CC30">
      <w:start w:val="1"/>
      <w:numFmt w:val="bullet"/>
      <w:lvlText w:val=""/>
      <w:lvlJc w:val="left"/>
      <w:pPr>
        <w:ind w:left="720" w:hanging="360"/>
      </w:pPr>
      <w:rPr>
        <w:rFonts w:ascii="Symbol" w:hAnsi="Symbol"/>
      </w:rPr>
    </w:lvl>
    <w:lvl w:ilvl="5" w:tplc="E670D646">
      <w:start w:val="1"/>
      <w:numFmt w:val="bullet"/>
      <w:lvlText w:val=""/>
      <w:lvlJc w:val="left"/>
      <w:pPr>
        <w:ind w:left="720" w:hanging="360"/>
      </w:pPr>
      <w:rPr>
        <w:rFonts w:ascii="Symbol" w:hAnsi="Symbol"/>
      </w:rPr>
    </w:lvl>
    <w:lvl w:ilvl="6" w:tplc="FE4C5B2A">
      <w:start w:val="1"/>
      <w:numFmt w:val="bullet"/>
      <w:lvlText w:val=""/>
      <w:lvlJc w:val="left"/>
      <w:pPr>
        <w:ind w:left="720" w:hanging="360"/>
      </w:pPr>
      <w:rPr>
        <w:rFonts w:ascii="Symbol" w:hAnsi="Symbol"/>
      </w:rPr>
    </w:lvl>
    <w:lvl w:ilvl="7" w:tplc="D1BE0C76">
      <w:start w:val="1"/>
      <w:numFmt w:val="bullet"/>
      <w:lvlText w:val=""/>
      <w:lvlJc w:val="left"/>
      <w:pPr>
        <w:ind w:left="720" w:hanging="360"/>
      </w:pPr>
      <w:rPr>
        <w:rFonts w:ascii="Symbol" w:hAnsi="Symbol"/>
      </w:rPr>
    </w:lvl>
    <w:lvl w:ilvl="8" w:tplc="52B099C4">
      <w:start w:val="1"/>
      <w:numFmt w:val="bullet"/>
      <w:lvlText w:val=""/>
      <w:lvlJc w:val="left"/>
      <w:pPr>
        <w:ind w:left="720" w:hanging="360"/>
      </w:pPr>
      <w:rPr>
        <w:rFonts w:ascii="Symbol" w:hAnsi="Symbol"/>
      </w:rPr>
    </w:lvl>
  </w:abstractNum>
  <w:abstractNum w:abstractNumId="7" w15:restartNumberingAfterBreak="0">
    <w:nsid w:val="17BC2B84"/>
    <w:multiLevelType w:val="multilevel"/>
    <w:tmpl w:val="FFFFFFFF"/>
    <w:lvl w:ilvl="0">
      <w:start w:val="3"/>
      <w:numFmt w:val="decimal"/>
      <w:lvlText w:val="%1"/>
      <w:lvlJc w:val="left"/>
      <w:pPr>
        <w:ind w:left="108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1A031D52"/>
    <w:multiLevelType w:val="hybridMultilevel"/>
    <w:tmpl w:val="0EF8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97432"/>
    <w:multiLevelType w:val="hybridMultilevel"/>
    <w:tmpl w:val="0C60FCCC"/>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0" w15:restartNumberingAfterBreak="0">
    <w:nsid w:val="215A2647"/>
    <w:multiLevelType w:val="hybridMultilevel"/>
    <w:tmpl w:val="39CEE6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FF1A2D"/>
    <w:multiLevelType w:val="hybridMultilevel"/>
    <w:tmpl w:val="909E880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26595BC9"/>
    <w:multiLevelType w:val="hybridMultilevel"/>
    <w:tmpl w:val="046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90171"/>
    <w:multiLevelType w:val="hybridMultilevel"/>
    <w:tmpl w:val="F61423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EAA6E9D"/>
    <w:multiLevelType w:val="hybridMultilevel"/>
    <w:tmpl w:val="9C169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D84AC5"/>
    <w:multiLevelType w:val="multilevel"/>
    <w:tmpl w:val="10584F34"/>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i/>
        <w:color w:val="33333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11227"/>
    <w:multiLevelType w:val="hybridMultilevel"/>
    <w:tmpl w:val="19C4EE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D7D3725"/>
    <w:multiLevelType w:val="hybridMultilevel"/>
    <w:tmpl w:val="1DD60132"/>
    <w:lvl w:ilvl="0" w:tplc="140C7F3E">
      <w:start w:val="1"/>
      <w:numFmt w:val="bullet"/>
      <w:pStyle w:val="ListBullet"/>
      <w:lvlText w:val=""/>
      <w:lvlJc w:val="left"/>
      <w:pPr>
        <w:ind w:left="720" w:hanging="360"/>
      </w:pPr>
      <w:rPr>
        <w:rFonts w:ascii="Wingdings 3" w:hAnsi="Wingdings 3" w:hint="default"/>
        <w:color w:val="5B5B5C"/>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AB6109"/>
    <w:multiLevelType w:val="hybridMultilevel"/>
    <w:tmpl w:val="D1C2BF3A"/>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9" w15:restartNumberingAfterBreak="0">
    <w:nsid w:val="42A50283"/>
    <w:multiLevelType w:val="hybridMultilevel"/>
    <w:tmpl w:val="38E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270F5"/>
    <w:multiLevelType w:val="hybridMultilevel"/>
    <w:tmpl w:val="8A369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284336"/>
    <w:multiLevelType w:val="hybridMultilevel"/>
    <w:tmpl w:val="7DF0D42C"/>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2" w15:restartNumberingAfterBreak="0">
    <w:nsid w:val="4FBD4E50"/>
    <w:multiLevelType w:val="hybridMultilevel"/>
    <w:tmpl w:val="13B8D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4E5832"/>
    <w:multiLevelType w:val="hybridMultilevel"/>
    <w:tmpl w:val="57D62EE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4" w15:restartNumberingAfterBreak="0">
    <w:nsid w:val="5F14485B"/>
    <w:multiLevelType w:val="multilevel"/>
    <w:tmpl w:val="FFFFFFFF"/>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385D12"/>
    <w:multiLevelType w:val="multilevel"/>
    <w:tmpl w:val="9CC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61E79"/>
    <w:multiLevelType w:val="hybridMultilevel"/>
    <w:tmpl w:val="91B0A2C6"/>
    <w:lvl w:ilvl="0" w:tplc="332EF51C">
      <w:start w:val="1"/>
      <w:numFmt w:val="bullet"/>
      <w:pStyle w:val="Idecarr"/>
      <w:lvlText w:val=""/>
      <w:lvlJc w:val="left"/>
      <w:pPr>
        <w:ind w:left="436" w:hanging="360"/>
      </w:pPr>
      <w:rPr>
        <w:rFonts w:ascii="Wingdings" w:hAnsi="Wingdings" w:hint="default"/>
        <w:color w:val="FF6F6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EB1150"/>
    <w:multiLevelType w:val="hybridMultilevel"/>
    <w:tmpl w:val="CF4E83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7C923A29"/>
    <w:multiLevelType w:val="hybridMultilevel"/>
    <w:tmpl w:val="DE921B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FA82AEE"/>
    <w:multiLevelType w:val="hybridMultilevel"/>
    <w:tmpl w:val="1E32DD0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709738">
    <w:abstractNumId w:val="22"/>
  </w:num>
  <w:num w:numId="2" w16cid:durableId="1984308036">
    <w:abstractNumId w:val="11"/>
  </w:num>
  <w:num w:numId="3" w16cid:durableId="589966448">
    <w:abstractNumId w:val="5"/>
  </w:num>
  <w:num w:numId="4" w16cid:durableId="137459880">
    <w:abstractNumId w:val="10"/>
  </w:num>
  <w:num w:numId="5" w16cid:durableId="206600881">
    <w:abstractNumId w:val="26"/>
  </w:num>
  <w:num w:numId="6" w16cid:durableId="2132508057">
    <w:abstractNumId w:val="17"/>
  </w:num>
  <w:num w:numId="7" w16cid:durableId="1324548607">
    <w:abstractNumId w:val="6"/>
  </w:num>
  <w:num w:numId="8" w16cid:durableId="975913434">
    <w:abstractNumId w:val="25"/>
  </w:num>
  <w:num w:numId="9" w16cid:durableId="1622223520">
    <w:abstractNumId w:val="2"/>
  </w:num>
  <w:num w:numId="10" w16cid:durableId="769853301">
    <w:abstractNumId w:val="18"/>
  </w:num>
  <w:num w:numId="11" w16cid:durableId="48581286">
    <w:abstractNumId w:val="27"/>
  </w:num>
  <w:num w:numId="12" w16cid:durableId="2044361602">
    <w:abstractNumId w:val="0"/>
  </w:num>
  <w:num w:numId="13" w16cid:durableId="183598737">
    <w:abstractNumId w:val="21"/>
  </w:num>
  <w:num w:numId="14" w16cid:durableId="250743851">
    <w:abstractNumId w:val="28"/>
  </w:num>
  <w:num w:numId="15" w16cid:durableId="1565607221">
    <w:abstractNumId w:val="20"/>
  </w:num>
  <w:num w:numId="16" w16cid:durableId="1832059017">
    <w:abstractNumId w:val="13"/>
  </w:num>
  <w:num w:numId="17" w16cid:durableId="801925764">
    <w:abstractNumId w:val="8"/>
  </w:num>
  <w:num w:numId="18" w16cid:durableId="11345304">
    <w:abstractNumId w:val="1"/>
  </w:num>
  <w:num w:numId="19" w16cid:durableId="1511215137">
    <w:abstractNumId w:val="23"/>
  </w:num>
  <w:num w:numId="20" w16cid:durableId="400639223">
    <w:abstractNumId w:val="4"/>
  </w:num>
  <w:num w:numId="21" w16cid:durableId="1961454692">
    <w:abstractNumId w:val="3"/>
  </w:num>
  <w:num w:numId="22" w16cid:durableId="1441418085">
    <w:abstractNumId w:val="14"/>
  </w:num>
  <w:num w:numId="23" w16cid:durableId="738942303">
    <w:abstractNumId w:val="19"/>
  </w:num>
  <w:num w:numId="24" w16cid:durableId="939918062">
    <w:abstractNumId w:val="12"/>
  </w:num>
  <w:num w:numId="25" w16cid:durableId="681275311">
    <w:abstractNumId w:val="15"/>
  </w:num>
  <w:num w:numId="26" w16cid:durableId="1970164826">
    <w:abstractNumId w:val="16"/>
  </w:num>
  <w:num w:numId="27" w16cid:durableId="361445963">
    <w:abstractNumId w:val="29"/>
  </w:num>
  <w:num w:numId="28" w16cid:durableId="289553153">
    <w:abstractNumId w:val="7"/>
  </w:num>
  <w:num w:numId="29" w16cid:durableId="148832893">
    <w:abstractNumId w:val="24"/>
  </w:num>
  <w:num w:numId="30" w16cid:durableId="1508474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7D"/>
    <w:rsid w:val="000011E7"/>
    <w:rsid w:val="00003A25"/>
    <w:rsid w:val="00004259"/>
    <w:rsid w:val="000043D5"/>
    <w:rsid w:val="000113E2"/>
    <w:rsid w:val="00014331"/>
    <w:rsid w:val="000171E8"/>
    <w:rsid w:val="00017742"/>
    <w:rsid w:val="000213E1"/>
    <w:rsid w:val="0002467E"/>
    <w:rsid w:val="00033FA4"/>
    <w:rsid w:val="0003519E"/>
    <w:rsid w:val="00037CEE"/>
    <w:rsid w:val="00040929"/>
    <w:rsid w:val="00043818"/>
    <w:rsid w:val="00050FAB"/>
    <w:rsid w:val="00053F89"/>
    <w:rsid w:val="0005505F"/>
    <w:rsid w:val="00065D82"/>
    <w:rsid w:val="000760F3"/>
    <w:rsid w:val="00082595"/>
    <w:rsid w:val="00086367"/>
    <w:rsid w:val="00087B68"/>
    <w:rsid w:val="00090E8D"/>
    <w:rsid w:val="00091746"/>
    <w:rsid w:val="00092666"/>
    <w:rsid w:val="00092931"/>
    <w:rsid w:val="00094EF5"/>
    <w:rsid w:val="00097953"/>
    <w:rsid w:val="000A3350"/>
    <w:rsid w:val="000B2D7B"/>
    <w:rsid w:val="000B5B8A"/>
    <w:rsid w:val="000B6B3B"/>
    <w:rsid w:val="000C18E5"/>
    <w:rsid w:val="000C2929"/>
    <w:rsid w:val="000C46AC"/>
    <w:rsid w:val="000C4937"/>
    <w:rsid w:val="000C69F8"/>
    <w:rsid w:val="000D2212"/>
    <w:rsid w:val="000D22E8"/>
    <w:rsid w:val="000D2CFC"/>
    <w:rsid w:val="000D3CC5"/>
    <w:rsid w:val="000D4954"/>
    <w:rsid w:val="000D6C88"/>
    <w:rsid w:val="000E2BD3"/>
    <w:rsid w:val="000E422F"/>
    <w:rsid w:val="000E42C4"/>
    <w:rsid w:val="000E5B72"/>
    <w:rsid w:val="000F3646"/>
    <w:rsid w:val="000F78A1"/>
    <w:rsid w:val="00102066"/>
    <w:rsid w:val="00102DC1"/>
    <w:rsid w:val="00110A71"/>
    <w:rsid w:val="001175FF"/>
    <w:rsid w:val="0012164F"/>
    <w:rsid w:val="00121840"/>
    <w:rsid w:val="0012258C"/>
    <w:rsid w:val="001274E2"/>
    <w:rsid w:val="0013105F"/>
    <w:rsid w:val="001333AF"/>
    <w:rsid w:val="00135035"/>
    <w:rsid w:val="00140BDD"/>
    <w:rsid w:val="001415F1"/>
    <w:rsid w:val="001540CD"/>
    <w:rsid w:val="00157C12"/>
    <w:rsid w:val="00164C02"/>
    <w:rsid w:val="00170F6E"/>
    <w:rsid w:val="00174A67"/>
    <w:rsid w:val="001776DC"/>
    <w:rsid w:val="001835F8"/>
    <w:rsid w:val="001909B3"/>
    <w:rsid w:val="001A746F"/>
    <w:rsid w:val="001B184C"/>
    <w:rsid w:val="001B5173"/>
    <w:rsid w:val="001B75DC"/>
    <w:rsid w:val="001C1437"/>
    <w:rsid w:val="001D0297"/>
    <w:rsid w:val="001D5233"/>
    <w:rsid w:val="001D5A1A"/>
    <w:rsid w:val="001E06AE"/>
    <w:rsid w:val="001E15BD"/>
    <w:rsid w:val="001E7F5E"/>
    <w:rsid w:val="001F3BBF"/>
    <w:rsid w:val="001F6D77"/>
    <w:rsid w:val="0020143D"/>
    <w:rsid w:val="00204A62"/>
    <w:rsid w:val="00215A34"/>
    <w:rsid w:val="00216ED7"/>
    <w:rsid w:val="002172FB"/>
    <w:rsid w:val="002210A3"/>
    <w:rsid w:val="00221C4D"/>
    <w:rsid w:val="00223500"/>
    <w:rsid w:val="00223830"/>
    <w:rsid w:val="00234486"/>
    <w:rsid w:val="00235FF4"/>
    <w:rsid w:val="0024073B"/>
    <w:rsid w:val="002456D3"/>
    <w:rsid w:val="00247372"/>
    <w:rsid w:val="00250C05"/>
    <w:rsid w:val="002518D8"/>
    <w:rsid w:val="002526E6"/>
    <w:rsid w:val="00254AD9"/>
    <w:rsid w:val="00257637"/>
    <w:rsid w:val="002631D9"/>
    <w:rsid w:val="00271371"/>
    <w:rsid w:val="00277317"/>
    <w:rsid w:val="002946D8"/>
    <w:rsid w:val="00295AC0"/>
    <w:rsid w:val="002A37B3"/>
    <w:rsid w:val="002B2367"/>
    <w:rsid w:val="002B6D3C"/>
    <w:rsid w:val="002C3719"/>
    <w:rsid w:val="002C41CC"/>
    <w:rsid w:val="002D1F09"/>
    <w:rsid w:val="002D5543"/>
    <w:rsid w:val="002E00B5"/>
    <w:rsid w:val="002E13F8"/>
    <w:rsid w:val="002E1E93"/>
    <w:rsid w:val="002E302F"/>
    <w:rsid w:val="002E3713"/>
    <w:rsid w:val="002F1C01"/>
    <w:rsid w:val="002F5729"/>
    <w:rsid w:val="003037C1"/>
    <w:rsid w:val="00306E5B"/>
    <w:rsid w:val="003079F4"/>
    <w:rsid w:val="0031186F"/>
    <w:rsid w:val="00314291"/>
    <w:rsid w:val="00315868"/>
    <w:rsid w:val="00317D75"/>
    <w:rsid w:val="003204CC"/>
    <w:rsid w:val="00321EB2"/>
    <w:rsid w:val="003243C4"/>
    <w:rsid w:val="0033365F"/>
    <w:rsid w:val="00336650"/>
    <w:rsid w:val="00356C73"/>
    <w:rsid w:val="00362052"/>
    <w:rsid w:val="00362AF1"/>
    <w:rsid w:val="00370ADC"/>
    <w:rsid w:val="00371390"/>
    <w:rsid w:val="00371A16"/>
    <w:rsid w:val="0037203D"/>
    <w:rsid w:val="0038134F"/>
    <w:rsid w:val="003816A2"/>
    <w:rsid w:val="003822F6"/>
    <w:rsid w:val="00384105"/>
    <w:rsid w:val="00387D37"/>
    <w:rsid w:val="003B6EF0"/>
    <w:rsid w:val="003C1F24"/>
    <w:rsid w:val="003C3157"/>
    <w:rsid w:val="003C4CAF"/>
    <w:rsid w:val="003E27FE"/>
    <w:rsid w:val="003E52DD"/>
    <w:rsid w:val="003F1C3C"/>
    <w:rsid w:val="003F701D"/>
    <w:rsid w:val="00402A99"/>
    <w:rsid w:val="00413BB8"/>
    <w:rsid w:val="0041433B"/>
    <w:rsid w:val="00417169"/>
    <w:rsid w:val="0042421F"/>
    <w:rsid w:val="0042588E"/>
    <w:rsid w:val="00430FC7"/>
    <w:rsid w:val="00434F2A"/>
    <w:rsid w:val="00440B94"/>
    <w:rsid w:val="0044204D"/>
    <w:rsid w:val="0045101F"/>
    <w:rsid w:val="00452DC7"/>
    <w:rsid w:val="00457B6B"/>
    <w:rsid w:val="00464400"/>
    <w:rsid w:val="004654B4"/>
    <w:rsid w:val="00467D08"/>
    <w:rsid w:val="00472CFA"/>
    <w:rsid w:val="00474174"/>
    <w:rsid w:val="004810D3"/>
    <w:rsid w:val="004844F4"/>
    <w:rsid w:val="004942E9"/>
    <w:rsid w:val="004B0A1A"/>
    <w:rsid w:val="004B5431"/>
    <w:rsid w:val="004C0BC0"/>
    <w:rsid w:val="004C3730"/>
    <w:rsid w:val="004C3F75"/>
    <w:rsid w:val="004D0B24"/>
    <w:rsid w:val="004D0BA8"/>
    <w:rsid w:val="004D51F7"/>
    <w:rsid w:val="004D5E38"/>
    <w:rsid w:val="004D5EAF"/>
    <w:rsid w:val="004E0EAC"/>
    <w:rsid w:val="004E15B3"/>
    <w:rsid w:val="004E7801"/>
    <w:rsid w:val="004F1B93"/>
    <w:rsid w:val="004F1CEA"/>
    <w:rsid w:val="005031CB"/>
    <w:rsid w:val="005107B7"/>
    <w:rsid w:val="005138B4"/>
    <w:rsid w:val="00527893"/>
    <w:rsid w:val="00535EFC"/>
    <w:rsid w:val="00552FD3"/>
    <w:rsid w:val="00562824"/>
    <w:rsid w:val="00565A68"/>
    <w:rsid w:val="00566FC9"/>
    <w:rsid w:val="0057016D"/>
    <w:rsid w:val="00571895"/>
    <w:rsid w:val="00571E6E"/>
    <w:rsid w:val="005741FB"/>
    <w:rsid w:val="00580622"/>
    <w:rsid w:val="00581797"/>
    <w:rsid w:val="005867F4"/>
    <w:rsid w:val="005953C9"/>
    <w:rsid w:val="00595915"/>
    <w:rsid w:val="005A052E"/>
    <w:rsid w:val="005A5702"/>
    <w:rsid w:val="005B0037"/>
    <w:rsid w:val="005B4C9F"/>
    <w:rsid w:val="005B5750"/>
    <w:rsid w:val="005B5839"/>
    <w:rsid w:val="005B5FF2"/>
    <w:rsid w:val="005B7176"/>
    <w:rsid w:val="005C08F8"/>
    <w:rsid w:val="005C1C85"/>
    <w:rsid w:val="005C1CC6"/>
    <w:rsid w:val="005C3289"/>
    <w:rsid w:val="005C714C"/>
    <w:rsid w:val="005D008B"/>
    <w:rsid w:val="005D4161"/>
    <w:rsid w:val="005E0B56"/>
    <w:rsid w:val="005E1529"/>
    <w:rsid w:val="005E40C2"/>
    <w:rsid w:val="006029F7"/>
    <w:rsid w:val="00610751"/>
    <w:rsid w:val="00630C54"/>
    <w:rsid w:val="00630F7D"/>
    <w:rsid w:val="00635BFD"/>
    <w:rsid w:val="006368FE"/>
    <w:rsid w:val="00642581"/>
    <w:rsid w:val="00643288"/>
    <w:rsid w:val="00643CC3"/>
    <w:rsid w:val="006454F2"/>
    <w:rsid w:val="00646E4D"/>
    <w:rsid w:val="00650CC2"/>
    <w:rsid w:val="006538EC"/>
    <w:rsid w:val="00673C0D"/>
    <w:rsid w:val="006761D3"/>
    <w:rsid w:val="00676C8D"/>
    <w:rsid w:val="00681488"/>
    <w:rsid w:val="00686D42"/>
    <w:rsid w:val="006907B7"/>
    <w:rsid w:val="0069186B"/>
    <w:rsid w:val="00691F04"/>
    <w:rsid w:val="006940AA"/>
    <w:rsid w:val="006B145D"/>
    <w:rsid w:val="006B2E8E"/>
    <w:rsid w:val="006B5C73"/>
    <w:rsid w:val="006C0687"/>
    <w:rsid w:val="006C57F5"/>
    <w:rsid w:val="006C6279"/>
    <w:rsid w:val="006C719F"/>
    <w:rsid w:val="006C7C89"/>
    <w:rsid w:val="006D1105"/>
    <w:rsid w:val="006D155B"/>
    <w:rsid w:val="006D5A93"/>
    <w:rsid w:val="006F2453"/>
    <w:rsid w:val="006F309B"/>
    <w:rsid w:val="006F341B"/>
    <w:rsid w:val="006F63A9"/>
    <w:rsid w:val="006F692D"/>
    <w:rsid w:val="006F6A9F"/>
    <w:rsid w:val="006F6F1B"/>
    <w:rsid w:val="0070746A"/>
    <w:rsid w:val="00712656"/>
    <w:rsid w:val="00721298"/>
    <w:rsid w:val="00722BFE"/>
    <w:rsid w:val="00723B69"/>
    <w:rsid w:val="007254E9"/>
    <w:rsid w:val="007259B8"/>
    <w:rsid w:val="00726EE7"/>
    <w:rsid w:val="007319DA"/>
    <w:rsid w:val="0073467E"/>
    <w:rsid w:val="00736CC6"/>
    <w:rsid w:val="00737C11"/>
    <w:rsid w:val="0074171D"/>
    <w:rsid w:val="007425A2"/>
    <w:rsid w:val="00746A21"/>
    <w:rsid w:val="00747941"/>
    <w:rsid w:val="00752153"/>
    <w:rsid w:val="0075284C"/>
    <w:rsid w:val="00753538"/>
    <w:rsid w:val="0075736E"/>
    <w:rsid w:val="0076115A"/>
    <w:rsid w:val="0076339B"/>
    <w:rsid w:val="00765468"/>
    <w:rsid w:val="00770E7B"/>
    <w:rsid w:val="00776FF3"/>
    <w:rsid w:val="00780B28"/>
    <w:rsid w:val="00783CED"/>
    <w:rsid w:val="00784972"/>
    <w:rsid w:val="0078592D"/>
    <w:rsid w:val="00787956"/>
    <w:rsid w:val="007A2035"/>
    <w:rsid w:val="007A50BF"/>
    <w:rsid w:val="007A5BD3"/>
    <w:rsid w:val="007B200D"/>
    <w:rsid w:val="007B59F5"/>
    <w:rsid w:val="007B723B"/>
    <w:rsid w:val="007B7CAE"/>
    <w:rsid w:val="007C3750"/>
    <w:rsid w:val="007C5027"/>
    <w:rsid w:val="007C52C4"/>
    <w:rsid w:val="007C5ADF"/>
    <w:rsid w:val="007D0E59"/>
    <w:rsid w:val="007D1CA5"/>
    <w:rsid w:val="007D3D00"/>
    <w:rsid w:val="007D4682"/>
    <w:rsid w:val="007E1253"/>
    <w:rsid w:val="007E5172"/>
    <w:rsid w:val="007E5DF4"/>
    <w:rsid w:val="007F0910"/>
    <w:rsid w:val="007F71AA"/>
    <w:rsid w:val="0080336F"/>
    <w:rsid w:val="00807F1C"/>
    <w:rsid w:val="00813B1C"/>
    <w:rsid w:val="00813F5F"/>
    <w:rsid w:val="0082216A"/>
    <w:rsid w:val="00832E06"/>
    <w:rsid w:val="00840827"/>
    <w:rsid w:val="0084192E"/>
    <w:rsid w:val="00844632"/>
    <w:rsid w:val="00846EB5"/>
    <w:rsid w:val="008472DF"/>
    <w:rsid w:val="00847BC3"/>
    <w:rsid w:val="00852DC9"/>
    <w:rsid w:val="00860E9E"/>
    <w:rsid w:val="00860ED8"/>
    <w:rsid w:val="00871E80"/>
    <w:rsid w:val="008724E9"/>
    <w:rsid w:val="00890910"/>
    <w:rsid w:val="00892E06"/>
    <w:rsid w:val="00893468"/>
    <w:rsid w:val="008A099A"/>
    <w:rsid w:val="008B4EEA"/>
    <w:rsid w:val="008B7160"/>
    <w:rsid w:val="008C2754"/>
    <w:rsid w:val="008C6B76"/>
    <w:rsid w:val="008D04DB"/>
    <w:rsid w:val="008D11D6"/>
    <w:rsid w:val="008D4314"/>
    <w:rsid w:val="008D7D27"/>
    <w:rsid w:val="008E0716"/>
    <w:rsid w:val="008E76EA"/>
    <w:rsid w:val="008E7811"/>
    <w:rsid w:val="008F42A9"/>
    <w:rsid w:val="008F45D7"/>
    <w:rsid w:val="008F5DA3"/>
    <w:rsid w:val="00901174"/>
    <w:rsid w:val="0090227E"/>
    <w:rsid w:val="0090331E"/>
    <w:rsid w:val="0091006D"/>
    <w:rsid w:val="00910661"/>
    <w:rsid w:val="00916B90"/>
    <w:rsid w:val="00916BEC"/>
    <w:rsid w:val="00917095"/>
    <w:rsid w:val="00924711"/>
    <w:rsid w:val="0093515C"/>
    <w:rsid w:val="00935878"/>
    <w:rsid w:val="0094490D"/>
    <w:rsid w:val="00946979"/>
    <w:rsid w:val="00952774"/>
    <w:rsid w:val="00952CDE"/>
    <w:rsid w:val="0095453F"/>
    <w:rsid w:val="00960BE3"/>
    <w:rsid w:val="009619C3"/>
    <w:rsid w:val="00964F74"/>
    <w:rsid w:val="00966088"/>
    <w:rsid w:val="00966A9F"/>
    <w:rsid w:val="0097163C"/>
    <w:rsid w:val="00971998"/>
    <w:rsid w:val="00972092"/>
    <w:rsid w:val="00974153"/>
    <w:rsid w:val="00976228"/>
    <w:rsid w:val="00980155"/>
    <w:rsid w:val="00986A03"/>
    <w:rsid w:val="00986B43"/>
    <w:rsid w:val="009911CB"/>
    <w:rsid w:val="009919D9"/>
    <w:rsid w:val="00994D18"/>
    <w:rsid w:val="0099640A"/>
    <w:rsid w:val="009A0531"/>
    <w:rsid w:val="009A3996"/>
    <w:rsid w:val="009A478E"/>
    <w:rsid w:val="009A618F"/>
    <w:rsid w:val="009B0E2E"/>
    <w:rsid w:val="009B773B"/>
    <w:rsid w:val="009C26B2"/>
    <w:rsid w:val="009D3D53"/>
    <w:rsid w:val="009E1B6E"/>
    <w:rsid w:val="009E2532"/>
    <w:rsid w:val="009E50E5"/>
    <w:rsid w:val="009E7C23"/>
    <w:rsid w:val="009F00E7"/>
    <w:rsid w:val="009F6375"/>
    <w:rsid w:val="00A01138"/>
    <w:rsid w:val="00A0397D"/>
    <w:rsid w:val="00A04440"/>
    <w:rsid w:val="00A0540D"/>
    <w:rsid w:val="00A115F4"/>
    <w:rsid w:val="00A11D20"/>
    <w:rsid w:val="00A202D0"/>
    <w:rsid w:val="00A20EB6"/>
    <w:rsid w:val="00A243FF"/>
    <w:rsid w:val="00A26E37"/>
    <w:rsid w:val="00A2754D"/>
    <w:rsid w:val="00A336EE"/>
    <w:rsid w:val="00A37533"/>
    <w:rsid w:val="00A379DA"/>
    <w:rsid w:val="00A621E4"/>
    <w:rsid w:val="00A6581A"/>
    <w:rsid w:val="00A65835"/>
    <w:rsid w:val="00A738F7"/>
    <w:rsid w:val="00A75774"/>
    <w:rsid w:val="00A85804"/>
    <w:rsid w:val="00AA0343"/>
    <w:rsid w:val="00AA3219"/>
    <w:rsid w:val="00AB0460"/>
    <w:rsid w:val="00AB44BC"/>
    <w:rsid w:val="00AB485B"/>
    <w:rsid w:val="00AC0816"/>
    <w:rsid w:val="00AC66F4"/>
    <w:rsid w:val="00AC681B"/>
    <w:rsid w:val="00AD3AD5"/>
    <w:rsid w:val="00AE0302"/>
    <w:rsid w:val="00AE044C"/>
    <w:rsid w:val="00AE2389"/>
    <w:rsid w:val="00AE7461"/>
    <w:rsid w:val="00AE7914"/>
    <w:rsid w:val="00AF051B"/>
    <w:rsid w:val="00AF1647"/>
    <w:rsid w:val="00AF1BE3"/>
    <w:rsid w:val="00B01DE4"/>
    <w:rsid w:val="00B12772"/>
    <w:rsid w:val="00B1681E"/>
    <w:rsid w:val="00B16E28"/>
    <w:rsid w:val="00B300D5"/>
    <w:rsid w:val="00B30A15"/>
    <w:rsid w:val="00B33DD6"/>
    <w:rsid w:val="00B3554B"/>
    <w:rsid w:val="00B50FE3"/>
    <w:rsid w:val="00B56662"/>
    <w:rsid w:val="00B5683C"/>
    <w:rsid w:val="00B57102"/>
    <w:rsid w:val="00B571AC"/>
    <w:rsid w:val="00B57832"/>
    <w:rsid w:val="00B60FB5"/>
    <w:rsid w:val="00B65DD8"/>
    <w:rsid w:val="00B72061"/>
    <w:rsid w:val="00B7290B"/>
    <w:rsid w:val="00B84B04"/>
    <w:rsid w:val="00BA39B0"/>
    <w:rsid w:val="00BA5B9F"/>
    <w:rsid w:val="00BB040D"/>
    <w:rsid w:val="00BB3191"/>
    <w:rsid w:val="00BB7115"/>
    <w:rsid w:val="00BC48A6"/>
    <w:rsid w:val="00BC725B"/>
    <w:rsid w:val="00BD0B32"/>
    <w:rsid w:val="00BD3CA2"/>
    <w:rsid w:val="00BD3FCC"/>
    <w:rsid w:val="00BD568C"/>
    <w:rsid w:val="00BD74A4"/>
    <w:rsid w:val="00BE1D73"/>
    <w:rsid w:val="00BE4C24"/>
    <w:rsid w:val="00BE5D48"/>
    <w:rsid w:val="00BE71B6"/>
    <w:rsid w:val="00BE7C0B"/>
    <w:rsid w:val="00BF1905"/>
    <w:rsid w:val="00BF432A"/>
    <w:rsid w:val="00C05F20"/>
    <w:rsid w:val="00C10FCF"/>
    <w:rsid w:val="00C15960"/>
    <w:rsid w:val="00C219B8"/>
    <w:rsid w:val="00C253A5"/>
    <w:rsid w:val="00C2751C"/>
    <w:rsid w:val="00C30F53"/>
    <w:rsid w:val="00C3257A"/>
    <w:rsid w:val="00C3421C"/>
    <w:rsid w:val="00C4171B"/>
    <w:rsid w:val="00C469B1"/>
    <w:rsid w:val="00C56FCC"/>
    <w:rsid w:val="00C65A4A"/>
    <w:rsid w:val="00C8040C"/>
    <w:rsid w:val="00C816CD"/>
    <w:rsid w:val="00C86730"/>
    <w:rsid w:val="00C8695B"/>
    <w:rsid w:val="00C97A3D"/>
    <w:rsid w:val="00CA1AD1"/>
    <w:rsid w:val="00CA4AB0"/>
    <w:rsid w:val="00CA6E76"/>
    <w:rsid w:val="00CB3A4B"/>
    <w:rsid w:val="00CB53C0"/>
    <w:rsid w:val="00CB59A2"/>
    <w:rsid w:val="00CC0A10"/>
    <w:rsid w:val="00CC4B6B"/>
    <w:rsid w:val="00CD1E33"/>
    <w:rsid w:val="00CD41BD"/>
    <w:rsid w:val="00CD49A3"/>
    <w:rsid w:val="00CF5B39"/>
    <w:rsid w:val="00D05771"/>
    <w:rsid w:val="00D07690"/>
    <w:rsid w:val="00D1162B"/>
    <w:rsid w:val="00D16FE8"/>
    <w:rsid w:val="00D23670"/>
    <w:rsid w:val="00D23AAE"/>
    <w:rsid w:val="00D36239"/>
    <w:rsid w:val="00D4000A"/>
    <w:rsid w:val="00D4449D"/>
    <w:rsid w:val="00D44754"/>
    <w:rsid w:val="00D45973"/>
    <w:rsid w:val="00D5179B"/>
    <w:rsid w:val="00D5188F"/>
    <w:rsid w:val="00D6344D"/>
    <w:rsid w:val="00D65F71"/>
    <w:rsid w:val="00D67109"/>
    <w:rsid w:val="00D67416"/>
    <w:rsid w:val="00D716B2"/>
    <w:rsid w:val="00D72431"/>
    <w:rsid w:val="00D768B7"/>
    <w:rsid w:val="00D80EDF"/>
    <w:rsid w:val="00D835CA"/>
    <w:rsid w:val="00D84EFA"/>
    <w:rsid w:val="00D906EC"/>
    <w:rsid w:val="00D97A5D"/>
    <w:rsid w:val="00D97EE9"/>
    <w:rsid w:val="00DA1FF2"/>
    <w:rsid w:val="00DA2CE1"/>
    <w:rsid w:val="00DA4689"/>
    <w:rsid w:val="00DB024E"/>
    <w:rsid w:val="00DB5D2D"/>
    <w:rsid w:val="00DC10CA"/>
    <w:rsid w:val="00DC748A"/>
    <w:rsid w:val="00DC795E"/>
    <w:rsid w:val="00DD5534"/>
    <w:rsid w:val="00DD587C"/>
    <w:rsid w:val="00DD58E8"/>
    <w:rsid w:val="00DE3055"/>
    <w:rsid w:val="00DE4E1C"/>
    <w:rsid w:val="00DE588B"/>
    <w:rsid w:val="00DF5879"/>
    <w:rsid w:val="00E029C7"/>
    <w:rsid w:val="00E04BA3"/>
    <w:rsid w:val="00E10B33"/>
    <w:rsid w:val="00E11C5D"/>
    <w:rsid w:val="00E11FF1"/>
    <w:rsid w:val="00E17649"/>
    <w:rsid w:val="00E26B60"/>
    <w:rsid w:val="00E31116"/>
    <w:rsid w:val="00E31D76"/>
    <w:rsid w:val="00E34207"/>
    <w:rsid w:val="00E40E3C"/>
    <w:rsid w:val="00E44E1B"/>
    <w:rsid w:val="00E45AD1"/>
    <w:rsid w:val="00E508DA"/>
    <w:rsid w:val="00E50D81"/>
    <w:rsid w:val="00E606F1"/>
    <w:rsid w:val="00E6072E"/>
    <w:rsid w:val="00E621FE"/>
    <w:rsid w:val="00E62D56"/>
    <w:rsid w:val="00E67588"/>
    <w:rsid w:val="00E76A34"/>
    <w:rsid w:val="00E8202D"/>
    <w:rsid w:val="00E82355"/>
    <w:rsid w:val="00E84495"/>
    <w:rsid w:val="00E86D4C"/>
    <w:rsid w:val="00E90309"/>
    <w:rsid w:val="00E92C82"/>
    <w:rsid w:val="00E94EA2"/>
    <w:rsid w:val="00E97564"/>
    <w:rsid w:val="00EB27BF"/>
    <w:rsid w:val="00ED0A82"/>
    <w:rsid w:val="00ED45FB"/>
    <w:rsid w:val="00ED620F"/>
    <w:rsid w:val="00EE6184"/>
    <w:rsid w:val="00EF018C"/>
    <w:rsid w:val="00EF09CC"/>
    <w:rsid w:val="00EF17E6"/>
    <w:rsid w:val="00EF3002"/>
    <w:rsid w:val="00EF387D"/>
    <w:rsid w:val="00F00A02"/>
    <w:rsid w:val="00F052D1"/>
    <w:rsid w:val="00F15449"/>
    <w:rsid w:val="00F34F6D"/>
    <w:rsid w:val="00F350A1"/>
    <w:rsid w:val="00F3672D"/>
    <w:rsid w:val="00F37F09"/>
    <w:rsid w:val="00F41D18"/>
    <w:rsid w:val="00F50C97"/>
    <w:rsid w:val="00F5447D"/>
    <w:rsid w:val="00F62D21"/>
    <w:rsid w:val="00F7361F"/>
    <w:rsid w:val="00F77361"/>
    <w:rsid w:val="00F81CAA"/>
    <w:rsid w:val="00F82472"/>
    <w:rsid w:val="00F83B70"/>
    <w:rsid w:val="00F87325"/>
    <w:rsid w:val="00F95C79"/>
    <w:rsid w:val="00FA2E16"/>
    <w:rsid w:val="00FA3CE8"/>
    <w:rsid w:val="00FA604C"/>
    <w:rsid w:val="00FC029C"/>
    <w:rsid w:val="00FC1885"/>
    <w:rsid w:val="00FC1A5B"/>
    <w:rsid w:val="00FD471D"/>
    <w:rsid w:val="00FE01CB"/>
    <w:rsid w:val="00FF2ADD"/>
    <w:rsid w:val="00FF40B5"/>
    <w:rsid w:val="00FF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E824"/>
  <w15:chartTrackingRefBased/>
  <w15:docId w15:val="{A64411FD-8E29-476A-A28B-BF8E72F3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8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38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38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38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38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38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38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38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38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8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38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38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38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38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38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38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38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387D"/>
    <w:rPr>
      <w:rFonts w:eastAsiaTheme="majorEastAsia" w:cstheme="majorBidi"/>
      <w:color w:val="272727" w:themeColor="text1" w:themeTint="D8"/>
    </w:rPr>
  </w:style>
  <w:style w:type="paragraph" w:styleId="Title">
    <w:name w:val="Title"/>
    <w:basedOn w:val="Normal"/>
    <w:next w:val="Normal"/>
    <w:link w:val="TitleChar"/>
    <w:uiPriority w:val="10"/>
    <w:qFormat/>
    <w:rsid w:val="00EF38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38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38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387D"/>
    <w:pPr>
      <w:spacing w:before="160"/>
      <w:jc w:val="center"/>
    </w:pPr>
    <w:rPr>
      <w:i/>
      <w:iCs/>
      <w:color w:val="404040" w:themeColor="text1" w:themeTint="BF"/>
    </w:rPr>
  </w:style>
  <w:style w:type="character" w:customStyle="1" w:styleId="QuoteChar">
    <w:name w:val="Quote Char"/>
    <w:basedOn w:val="DefaultParagraphFont"/>
    <w:link w:val="Quote"/>
    <w:uiPriority w:val="29"/>
    <w:rsid w:val="00EF387D"/>
    <w:rPr>
      <w:i/>
      <w:iCs/>
      <w:color w:val="404040" w:themeColor="text1" w:themeTint="BF"/>
    </w:rPr>
  </w:style>
  <w:style w:type="paragraph" w:styleId="ListParagraph">
    <w:name w:val="List Paragraph"/>
    <w:basedOn w:val="Normal"/>
    <w:uiPriority w:val="34"/>
    <w:qFormat/>
    <w:rsid w:val="00EF387D"/>
    <w:pPr>
      <w:ind w:left="720"/>
      <w:contextualSpacing/>
    </w:pPr>
  </w:style>
  <w:style w:type="character" w:styleId="IntenseEmphasis">
    <w:name w:val="Intense Emphasis"/>
    <w:basedOn w:val="DefaultParagraphFont"/>
    <w:uiPriority w:val="21"/>
    <w:qFormat/>
    <w:rsid w:val="00EF387D"/>
    <w:rPr>
      <w:i/>
      <w:iCs/>
      <w:color w:val="0F4761" w:themeColor="accent1" w:themeShade="BF"/>
    </w:rPr>
  </w:style>
  <w:style w:type="paragraph" w:styleId="IntenseQuote">
    <w:name w:val="Intense Quote"/>
    <w:basedOn w:val="Normal"/>
    <w:next w:val="Normal"/>
    <w:link w:val="IntenseQuoteChar"/>
    <w:uiPriority w:val="30"/>
    <w:qFormat/>
    <w:rsid w:val="00EF38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387D"/>
    <w:rPr>
      <w:i/>
      <w:iCs/>
      <w:color w:val="0F4761" w:themeColor="accent1" w:themeShade="BF"/>
    </w:rPr>
  </w:style>
  <w:style w:type="character" w:styleId="IntenseReference">
    <w:name w:val="Intense Reference"/>
    <w:basedOn w:val="DefaultParagraphFont"/>
    <w:uiPriority w:val="32"/>
    <w:qFormat/>
    <w:rsid w:val="00EF387D"/>
    <w:rPr>
      <w:b/>
      <w:bCs/>
      <w:smallCaps/>
      <w:color w:val="0F4761" w:themeColor="accent1" w:themeShade="BF"/>
      <w:spacing w:val="5"/>
    </w:rPr>
  </w:style>
  <w:style w:type="paragraph" w:styleId="FootnoteText">
    <w:name w:val="footnote text"/>
    <w:basedOn w:val="Normal"/>
    <w:link w:val="FootnoteTextChar"/>
    <w:uiPriority w:val="99"/>
    <w:semiHidden/>
    <w:unhideWhenUsed/>
    <w:rsid w:val="00747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41"/>
    <w:rPr>
      <w:sz w:val="20"/>
      <w:szCs w:val="20"/>
    </w:rPr>
  </w:style>
  <w:style w:type="character" w:styleId="FootnoteReference">
    <w:name w:val="footnote reference"/>
    <w:basedOn w:val="DefaultParagraphFont"/>
    <w:uiPriority w:val="99"/>
    <w:semiHidden/>
    <w:unhideWhenUsed/>
    <w:rsid w:val="00747941"/>
    <w:rPr>
      <w:vertAlign w:val="superscript"/>
    </w:rPr>
  </w:style>
  <w:style w:type="table" w:styleId="TableGrid">
    <w:name w:val="Table Grid"/>
    <w:basedOn w:val="TableNormal"/>
    <w:rsid w:val="00E1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8B"/>
  </w:style>
  <w:style w:type="paragraph" w:styleId="Footer">
    <w:name w:val="footer"/>
    <w:basedOn w:val="Normal"/>
    <w:link w:val="FooterChar"/>
    <w:uiPriority w:val="99"/>
    <w:unhideWhenUsed/>
    <w:rsid w:val="005D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8B"/>
  </w:style>
  <w:style w:type="paragraph" w:styleId="CommentText">
    <w:name w:val="annotation text"/>
    <w:basedOn w:val="Normal"/>
    <w:link w:val="CommentTextChar"/>
    <w:semiHidden/>
    <w:rsid w:val="00235FF4"/>
    <w:pPr>
      <w:keepLines/>
      <w:overflowPunct w:val="0"/>
      <w:autoSpaceDE w:val="0"/>
      <w:autoSpaceDN w:val="0"/>
      <w:adjustRightInd w:val="0"/>
      <w:spacing w:before="120" w:after="0" w:line="280" w:lineRule="atLeast"/>
      <w:jc w:val="both"/>
      <w:textAlignment w:val="baseline"/>
    </w:pPr>
    <w:rPr>
      <w:rFonts w:ascii="Verdana" w:eastAsia="Times New Roman" w:hAnsi="Verdana" w:cs="Times New Roman"/>
      <w:spacing w:val="-4"/>
      <w:sz w:val="18"/>
      <w:szCs w:val="18"/>
      <w:lang w:eastAsia="fr-FR"/>
    </w:rPr>
  </w:style>
  <w:style w:type="character" w:customStyle="1" w:styleId="CommentTextChar">
    <w:name w:val="Comment Text Char"/>
    <w:basedOn w:val="DefaultParagraphFont"/>
    <w:link w:val="CommentText"/>
    <w:semiHidden/>
    <w:rsid w:val="00235FF4"/>
    <w:rPr>
      <w:rFonts w:ascii="Verdana" w:eastAsia="Times New Roman" w:hAnsi="Verdana" w:cs="Times New Roman"/>
      <w:spacing w:val="-4"/>
      <w:sz w:val="18"/>
      <w:szCs w:val="18"/>
      <w:lang w:eastAsia="fr-FR"/>
    </w:rPr>
  </w:style>
  <w:style w:type="paragraph" w:customStyle="1" w:styleId="Idecarr">
    <w:name w:val="Idée carré"/>
    <w:basedOn w:val="Normal"/>
    <w:next w:val="Normal"/>
    <w:qFormat/>
    <w:rsid w:val="00235FF4"/>
    <w:pPr>
      <w:keepLines/>
      <w:numPr>
        <w:numId w:val="5"/>
      </w:numPr>
      <w:overflowPunct w:val="0"/>
      <w:autoSpaceDE w:val="0"/>
      <w:autoSpaceDN w:val="0"/>
      <w:adjustRightInd w:val="0"/>
      <w:spacing w:before="240" w:after="0" w:line="280" w:lineRule="atLeast"/>
      <w:ind w:left="0"/>
      <w:jc w:val="both"/>
      <w:textAlignment w:val="baseline"/>
    </w:pPr>
    <w:rPr>
      <w:rFonts w:ascii="Verdana" w:eastAsia="Times New Roman" w:hAnsi="Verdana" w:cs="Times New Roman"/>
      <w:spacing w:val="-4"/>
      <w:sz w:val="18"/>
      <w:szCs w:val="18"/>
      <w:lang w:eastAsia="fr-FR"/>
    </w:rPr>
  </w:style>
  <w:style w:type="paragraph" w:styleId="ListBullet">
    <w:name w:val="List Bullet"/>
    <w:aliases w:val="Liste PR"/>
    <w:basedOn w:val="Idecarr"/>
    <w:qFormat/>
    <w:rsid w:val="00235FF4"/>
    <w:pPr>
      <w:numPr>
        <w:numId w:val="6"/>
      </w:numPr>
      <w:tabs>
        <w:tab w:val="left" w:pos="426"/>
      </w:tabs>
      <w:spacing w:before="120"/>
      <w:ind w:left="426" w:hanging="426"/>
    </w:pPr>
  </w:style>
  <w:style w:type="character" w:styleId="CommentReference">
    <w:name w:val="annotation reference"/>
    <w:basedOn w:val="DefaultParagraphFont"/>
    <w:semiHidden/>
    <w:unhideWhenUsed/>
    <w:rsid w:val="00235FF4"/>
    <w:rPr>
      <w:sz w:val="16"/>
      <w:szCs w:val="16"/>
    </w:rPr>
  </w:style>
  <w:style w:type="paragraph" w:customStyle="1" w:styleId="pf0">
    <w:name w:val="pf0"/>
    <w:basedOn w:val="Normal"/>
    <w:rsid w:val="002F1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F1C01"/>
    <w:rPr>
      <w:rFonts w:ascii="Segoe UI" w:hAnsi="Segoe UI" w:cs="Segoe UI" w:hint="default"/>
      <w:sz w:val="18"/>
      <w:szCs w:val="18"/>
    </w:rPr>
  </w:style>
  <w:style w:type="character" w:customStyle="1" w:styleId="cf11">
    <w:name w:val="cf11"/>
    <w:basedOn w:val="DefaultParagraphFont"/>
    <w:rsid w:val="002F1C01"/>
    <w:rPr>
      <w:rFonts w:ascii="Segoe UI" w:hAnsi="Segoe UI" w:cs="Segoe UI" w:hint="default"/>
      <w:sz w:val="18"/>
      <w:szCs w:val="18"/>
    </w:rPr>
  </w:style>
  <w:style w:type="character" w:customStyle="1" w:styleId="cf21">
    <w:name w:val="cf21"/>
    <w:basedOn w:val="DefaultParagraphFont"/>
    <w:rsid w:val="002F1C01"/>
    <w:rPr>
      <w:rFonts w:ascii="Segoe UI" w:hAnsi="Segoe UI" w:cs="Segoe UI" w:hint="default"/>
      <w:color w:val="5B52BE"/>
      <w:sz w:val="18"/>
      <w:szCs w:val="18"/>
    </w:rPr>
  </w:style>
  <w:style w:type="character" w:styleId="Hyperlink">
    <w:name w:val="Hyperlink"/>
    <w:basedOn w:val="DefaultParagraphFont"/>
    <w:uiPriority w:val="99"/>
    <w:unhideWhenUsed/>
    <w:qFormat/>
    <w:rsid w:val="002F1C01"/>
    <w:rPr>
      <w:color w:val="FF6F61"/>
      <w:u w:val="single"/>
    </w:rPr>
  </w:style>
  <w:style w:type="paragraph" w:styleId="NormalWeb">
    <w:name w:val="Normal (Web)"/>
    <w:basedOn w:val="Normal"/>
    <w:uiPriority w:val="99"/>
    <w:semiHidden/>
    <w:unhideWhenUsed/>
    <w:rsid w:val="00F736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F5DA3"/>
    <w:rPr>
      <w:color w:val="605E5C"/>
      <w:shd w:val="clear" w:color="auto" w:fill="E1DFDD"/>
    </w:rPr>
  </w:style>
  <w:style w:type="character" w:styleId="FollowedHyperlink">
    <w:name w:val="FollowedHyperlink"/>
    <w:basedOn w:val="DefaultParagraphFont"/>
    <w:uiPriority w:val="99"/>
    <w:semiHidden/>
    <w:unhideWhenUsed/>
    <w:rsid w:val="00972092"/>
    <w:rPr>
      <w:color w:val="96607D" w:themeColor="followedHyperlink"/>
      <w:u w:val="single"/>
    </w:rPr>
  </w:style>
  <w:style w:type="paragraph" w:styleId="Revision">
    <w:name w:val="Revision"/>
    <w:hidden/>
    <w:uiPriority w:val="99"/>
    <w:semiHidden/>
    <w:rsid w:val="00BD3FCC"/>
    <w:pPr>
      <w:spacing w:after="0" w:line="240" w:lineRule="auto"/>
    </w:pPr>
  </w:style>
  <w:style w:type="paragraph" w:styleId="CommentSubject">
    <w:name w:val="annotation subject"/>
    <w:basedOn w:val="CommentText"/>
    <w:next w:val="CommentText"/>
    <w:link w:val="CommentSubjectChar"/>
    <w:uiPriority w:val="99"/>
    <w:semiHidden/>
    <w:unhideWhenUsed/>
    <w:rsid w:val="0073467E"/>
    <w:pPr>
      <w:keepLines w:val="0"/>
      <w:overflowPunct/>
      <w:autoSpaceDE/>
      <w:autoSpaceDN/>
      <w:adjustRightInd/>
      <w:spacing w:before="0" w:after="160" w:line="240" w:lineRule="auto"/>
      <w:jc w:val="left"/>
      <w:textAlignment w:val="auto"/>
    </w:pPr>
    <w:rPr>
      <w:rFonts w:asciiTheme="minorHAnsi" w:eastAsiaTheme="minorHAnsi" w:hAnsiTheme="minorHAnsi" w:cstheme="minorBidi"/>
      <w:b/>
      <w:bCs/>
      <w:spacing w:val="0"/>
      <w:sz w:val="20"/>
      <w:szCs w:val="20"/>
      <w:lang w:eastAsia="en-US"/>
    </w:rPr>
  </w:style>
  <w:style w:type="character" w:customStyle="1" w:styleId="CommentSubjectChar">
    <w:name w:val="Comment Subject Char"/>
    <w:basedOn w:val="CommentTextChar"/>
    <w:link w:val="CommentSubject"/>
    <w:uiPriority w:val="99"/>
    <w:semiHidden/>
    <w:rsid w:val="0073467E"/>
    <w:rPr>
      <w:rFonts w:ascii="Verdana" w:eastAsia="Times New Roman" w:hAnsi="Verdana" w:cs="Times New Roman"/>
      <w:b/>
      <w:bCs/>
      <w:spacing w:val="-4"/>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375">
      <w:bodyDiv w:val="1"/>
      <w:marLeft w:val="0"/>
      <w:marRight w:val="0"/>
      <w:marTop w:val="0"/>
      <w:marBottom w:val="0"/>
      <w:divBdr>
        <w:top w:val="none" w:sz="0" w:space="0" w:color="auto"/>
        <w:left w:val="none" w:sz="0" w:space="0" w:color="auto"/>
        <w:bottom w:val="none" w:sz="0" w:space="0" w:color="auto"/>
        <w:right w:val="none" w:sz="0" w:space="0" w:color="auto"/>
      </w:divBdr>
    </w:div>
    <w:div w:id="151023098">
      <w:bodyDiv w:val="1"/>
      <w:marLeft w:val="0"/>
      <w:marRight w:val="0"/>
      <w:marTop w:val="0"/>
      <w:marBottom w:val="0"/>
      <w:divBdr>
        <w:top w:val="none" w:sz="0" w:space="0" w:color="auto"/>
        <w:left w:val="none" w:sz="0" w:space="0" w:color="auto"/>
        <w:bottom w:val="none" w:sz="0" w:space="0" w:color="auto"/>
        <w:right w:val="none" w:sz="0" w:space="0" w:color="auto"/>
      </w:divBdr>
    </w:div>
    <w:div w:id="172450976">
      <w:bodyDiv w:val="1"/>
      <w:marLeft w:val="0"/>
      <w:marRight w:val="0"/>
      <w:marTop w:val="0"/>
      <w:marBottom w:val="0"/>
      <w:divBdr>
        <w:top w:val="none" w:sz="0" w:space="0" w:color="auto"/>
        <w:left w:val="none" w:sz="0" w:space="0" w:color="auto"/>
        <w:bottom w:val="none" w:sz="0" w:space="0" w:color="auto"/>
        <w:right w:val="none" w:sz="0" w:space="0" w:color="auto"/>
      </w:divBdr>
    </w:div>
    <w:div w:id="196895832">
      <w:bodyDiv w:val="1"/>
      <w:marLeft w:val="0"/>
      <w:marRight w:val="0"/>
      <w:marTop w:val="0"/>
      <w:marBottom w:val="0"/>
      <w:divBdr>
        <w:top w:val="none" w:sz="0" w:space="0" w:color="auto"/>
        <w:left w:val="none" w:sz="0" w:space="0" w:color="auto"/>
        <w:bottom w:val="none" w:sz="0" w:space="0" w:color="auto"/>
        <w:right w:val="none" w:sz="0" w:space="0" w:color="auto"/>
      </w:divBdr>
    </w:div>
    <w:div w:id="401833707">
      <w:bodyDiv w:val="1"/>
      <w:marLeft w:val="0"/>
      <w:marRight w:val="0"/>
      <w:marTop w:val="0"/>
      <w:marBottom w:val="0"/>
      <w:divBdr>
        <w:top w:val="none" w:sz="0" w:space="0" w:color="auto"/>
        <w:left w:val="none" w:sz="0" w:space="0" w:color="auto"/>
        <w:bottom w:val="none" w:sz="0" w:space="0" w:color="auto"/>
        <w:right w:val="none" w:sz="0" w:space="0" w:color="auto"/>
      </w:divBdr>
    </w:div>
    <w:div w:id="549271440">
      <w:bodyDiv w:val="1"/>
      <w:marLeft w:val="0"/>
      <w:marRight w:val="0"/>
      <w:marTop w:val="0"/>
      <w:marBottom w:val="0"/>
      <w:divBdr>
        <w:top w:val="none" w:sz="0" w:space="0" w:color="auto"/>
        <w:left w:val="none" w:sz="0" w:space="0" w:color="auto"/>
        <w:bottom w:val="none" w:sz="0" w:space="0" w:color="auto"/>
        <w:right w:val="none" w:sz="0" w:space="0" w:color="auto"/>
      </w:divBdr>
    </w:div>
    <w:div w:id="614794882">
      <w:bodyDiv w:val="1"/>
      <w:marLeft w:val="0"/>
      <w:marRight w:val="0"/>
      <w:marTop w:val="0"/>
      <w:marBottom w:val="0"/>
      <w:divBdr>
        <w:top w:val="none" w:sz="0" w:space="0" w:color="auto"/>
        <w:left w:val="none" w:sz="0" w:space="0" w:color="auto"/>
        <w:bottom w:val="none" w:sz="0" w:space="0" w:color="auto"/>
        <w:right w:val="none" w:sz="0" w:space="0" w:color="auto"/>
      </w:divBdr>
    </w:div>
    <w:div w:id="779883490">
      <w:bodyDiv w:val="1"/>
      <w:marLeft w:val="0"/>
      <w:marRight w:val="0"/>
      <w:marTop w:val="0"/>
      <w:marBottom w:val="0"/>
      <w:divBdr>
        <w:top w:val="none" w:sz="0" w:space="0" w:color="auto"/>
        <w:left w:val="none" w:sz="0" w:space="0" w:color="auto"/>
        <w:bottom w:val="none" w:sz="0" w:space="0" w:color="auto"/>
        <w:right w:val="none" w:sz="0" w:space="0" w:color="auto"/>
      </w:divBdr>
    </w:div>
    <w:div w:id="938638487">
      <w:bodyDiv w:val="1"/>
      <w:marLeft w:val="0"/>
      <w:marRight w:val="0"/>
      <w:marTop w:val="0"/>
      <w:marBottom w:val="0"/>
      <w:divBdr>
        <w:top w:val="none" w:sz="0" w:space="0" w:color="auto"/>
        <w:left w:val="none" w:sz="0" w:space="0" w:color="auto"/>
        <w:bottom w:val="none" w:sz="0" w:space="0" w:color="auto"/>
        <w:right w:val="none" w:sz="0" w:space="0" w:color="auto"/>
      </w:divBdr>
    </w:div>
    <w:div w:id="954479267">
      <w:bodyDiv w:val="1"/>
      <w:marLeft w:val="0"/>
      <w:marRight w:val="0"/>
      <w:marTop w:val="0"/>
      <w:marBottom w:val="0"/>
      <w:divBdr>
        <w:top w:val="none" w:sz="0" w:space="0" w:color="auto"/>
        <w:left w:val="none" w:sz="0" w:space="0" w:color="auto"/>
        <w:bottom w:val="none" w:sz="0" w:space="0" w:color="auto"/>
        <w:right w:val="none" w:sz="0" w:space="0" w:color="auto"/>
      </w:divBdr>
    </w:div>
    <w:div w:id="1218737444">
      <w:bodyDiv w:val="1"/>
      <w:marLeft w:val="0"/>
      <w:marRight w:val="0"/>
      <w:marTop w:val="0"/>
      <w:marBottom w:val="0"/>
      <w:divBdr>
        <w:top w:val="none" w:sz="0" w:space="0" w:color="auto"/>
        <w:left w:val="none" w:sz="0" w:space="0" w:color="auto"/>
        <w:bottom w:val="none" w:sz="0" w:space="0" w:color="auto"/>
        <w:right w:val="none" w:sz="0" w:space="0" w:color="auto"/>
      </w:divBdr>
    </w:div>
    <w:div w:id="1326470109">
      <w:bodyDiv w:val="1"/>
      <w:marLeft w:val="0"/>
      <w:marRight w:val="0"/>
      <w:marTop w:val="0"/>
      <w:marBottom w:val="0"/>
      <w:divBdr>
        <w:top w:val="none" w:sz="0" w:space="0" w:color="auto"/>
        <w:left w:val="none" w:sz="0" w:space="0" w:color="auto"/>
        <w:bottom w:val="none" w:sz="0" w:space="0" w:color="auto"/>
        <w:right w:val="none" w:sz="0" w:space="0" w:color="auto"/>
      </w:divBdr>
    </w:div>
    <w:div w:id="1401365075">
      <w:bodyDiv w:val="1"/>
      <w:marLeft w:val="0"/>
      <w:marRight w:val="0"/>
      <w:marTop w:val="0"/>
      <w:marBottom w:val="0"/>
      <w:divBdr>
        <w:top w:val="none" w:sz="0" w:space="0" w:color="auto"/>
        <w:left w:val="none" w:sz="0" w:space="0" w:color="auto"/>
        <w:bottom w:val="none" w:sz="0" w:space="0" w:color="auto"/>
        <w:right w:val="none" w:sz="0" w:space="0" w:color="auto"/>
      </w:divBdr>
    </w:div>
    <w:div w:id="1534921226">
      <w:bodyDiv w:val="1"/>
      <w:marLeft w:val="0"/>
      <w:marRight w:val="0"/>
      <w:marTop w:val="0"/>
      <w:marBottom w:val="0"/>
      <w:divBdr>
        <w:top w:val="none" w:sz="0" w:space="0" w:color="auto"/>
        <w:left w:val="none" w:sz="0" w:space="0" w:color="auto"/>
        <w:bottom w:val="none" w:sz="0" w:space="0" w:color="auto"/>
        <w:right w:val="none" w:sz="0" w:space="0" w:color="auto"/>
      </w:divBdr>
    </w:div>
    <w:div w:id="1553151478">
      <w:bodyDiv w:val="1"/>
      <w:marLeft w:val="0"/>
      <w:marRight w:val="0"/>
      <w:marTop w:val="0"/>
      <w:marBottom w:val="0"/>
      <w:divBdr>
        <w:top w:val="none" w:sz="0" w:space="0" w:color="auto"/>
        <w:left w:val="none" w:sz="0" w:space="0" w:color="auto"/>
        <w:bottom w:val="none" w:sz="0" w:space="0" w:color="auto"/>
        <w:right w:val="none" w:sz="0" w:space="0" w:color="auto"/>
      </w:divBdr>
    </w:div>
    <w:div w:id="1608151438">
      <w:bodyDiv w:val="1"/>
      <w:marLeft w:val="0"/>
      <w:marRight w:val="0"/>
      <w:marTop w:val="0"/>
      <w:marBottom w:val="0"/>
      <w:divBdr>
        <w:top w:val="none" w:sz="0" w:space="0" w:color="auto"/>
        <w:left w:val="none" w:sz="0" w:space="0" w:color="auto"/>
        <w:bottom w:val="none" w:sz="0" w:space="0" w:color="auto"/>
        <w:right w:val="none" w:sz="0" w:space="0" w:color="auto"/>
      </w:divBdr>
    </w:div>
    <w:div w:id="1730878105">
      <w:bodyDiv w:val="1"/>
      <w:marLeft w:val="0"/>
      <w:marRight w:val="0"/>
      <w:marTop w:val="0"/>
      <w:marBottom w:val="0"/>
      <w:divBdr>
        <w:top w:val="none" w:sz="0" w:space="0" w:color="auto"/>
        <w:left w:val="none" w:sz="0" w:space="0" w:color="auto"/>
        <w:bottom w:val="none" w:sz="0" w:space="0" w:color="auto"/>
        <w:right w:val="none" w:sz="0" w:space="0" w:color="auto"/>
      </w:divBdr>
    </w:div>
    <w:div w:id="1979260667">
      <w:bodyDiv w:val="1"/>
      <w:marLeft w:val="0"/>
      <w:marRight w:val="0"/>
      <w:marTop w:val="0"/>
      <w:marBottom w:val="0"/>
      <w:divBdr>
        <w:top w:val="none" w:sz="0" w:space="0" w:color="auto"/>
        <w:left w:val="none" w:sz="0" w:space="0" w:color="auto"/>
        <w:bottom w:val="none" w:sz="0" w:space="0" w:color="auto"/>
        <w:right w:val="none" w:sz="0" w:space="0" w:color="auto"/>
      </w:divBdr>
    </w:div>
    <w:div w:id="2052268222">
      <w:bodyDiv w:val="1"/>
      <w:marLeft w:val="0"/>
      <w:marRight w:val="0"/>
      <w:marTop w:val="0"/>
      <w:marBottom w:val="0"/>
      <w:divBdr>
        <w:top w:val="none" w:sz="0" w:space="0" w:color="auto"/>
        <w:left w:val="none" w:sz="0" w:space="0" w:color="auto"/>
        <w:bottom w:val="none" w:sz="0" w:space="0" w:color="auto"/>
        <w:right w:val="none" w:sz="0" w:space="0" w:color="auto"/>
      </w:divBdr>
    </w:div>
    <w:div w:id="2061435356">
      <w:bodyDiv w:val="1"/>
      <w:marLeft w:val="0"/>
      <w:marRight w:val="0"/>
      <w:marTop w:val="0"/>
      <w:marBottom w:val="0"/>
      <w:divBdr>
        <w:top w:val="none" w:sz="0" w:space="0" w:color="auto"/>
        <w:left w:val="none" w:sz="0" w:space="0" w:color="auto"/>
        <w:bottom w:val="none" w:sz="0" w:space="0" w:color="auto"/>
        <w:right w:val="none" w:sz="0" w:space="0" w:color="auto"/>
      </w:divBdr>
    </w:div>
    <w:div w:id="21136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UD\AppData\Local\Microsoft\Windows\INetCache\Content.Outlook\71ZIWYMX\&#160;https:\www.durham.ac.uk\media\durham-university\departments-\law-school\pdfs\news-pdfs\Leveraged-LDI---Prudent-deficit-risk-manage-or-ultra-vires-speculation.pdf"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s://www.law.cornell.edu/definitions/uscode.php?width=840&amp;height=800&amp;iframe=true&amp;def_id=29-USC-3443497-854092651&amp;term_occur=999&amp;term_src="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definitions/uscode.php?width=840&amp;height=800&amp;iframe=true&amp;def_id=29-USC-767422259-854092655&amp;term_occur=999&amp;term_src="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customXml" Target="../customXml/item4.xml"/><Relationship Id="rId10" Type="http://schemas.openxmlformats.org/officeDocument/2006/relationships/hyperlink" Target="https://www.law.cornell.edu/definitions/uscode.php?width=840&amp;height=800&amp;iframe=true&amp;def_id=29-USC-767422259-854092655&amp;term_occur=999&amp;term_src=" TargetMode="External"/><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hyperlink" Target="https://www.law.cornell.edu/definitions/uscode.php?width=840&amp;height=800&amp;iframe=true&amp;def_id=29-USC-3443497-854092651&amp;term_occur=999&amp;term_src=" TargetMode="External"/><Relationship Id="rId14" Type="http://schemas.openxmlformats.org/officeDocument/2006/relationships/hyperlink" Target="https://www.dol.gov/agencies/ebsa/about-ebsa/our-activities/resource-center/advisory-opinions/2006-08a" TargetMode="External"/><Relationship Id="rId22" Type="http://schemas.microsoft.com/office/2007/relationships/diagramDrawing" Target="diagrams/drawing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6L2341" TargetMode="External"/><Relationship Id="rId7" Type="http://schemas.openxmlformats.org/officeDocument/2006/relationships/hyperlink" Target="https://www.legislation.gov.uk/uksi/2024/462/made" TargetMode="External"/><Relationship Id="rId2" Type="http://schemas.openxmlformats.org/officeDocument/2006/relationships/hyperlink" Target="https://www.govinfo.gov/content/pkg/COMPS-896/pdf/COMPS-896.pdf" TargetMode="External"/><Relationship Id="rId1" Type="http://schemas.openxmlformats.org/officeDocument/2006/relationships/hyperlink" Target="https://www.legislation.gov.uk/ukpga/1993/48/section/1" TargetMode="External"/><Relationship Id="rId6" Type="http://schemas.openxmlformats.org/officeDocument/2006/relationships/hyperlink" Target="https://www.legislation.gov.uk/ukpga/1995/26/section/34/enacted" TargetMode="External"/><Relationship Id="rId5" Type="http://schemas.openxmlformats.org/officeDocument/2006/relationships/hyperlink" Target="https://www.legislation.gov.uk/ukpga/1993/48/section/181" TargetMode="External"/><Relationship Id="rId4" Type="http://schemas.openxmlformats.org/officeDocument/2006/relationships/hyperlink" Target="https://www.govinfo.gov/content/pkg/COMPS-896/pdf/COMPS-896.pdf"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ECB2D-E453-0F41-9870-538E076B5689}" type="doc">
      <dgm:prSet loTypeId="urn:microsoft.com/office/officeart/2005/8/layout/pyramid1" loCatId="" qsTypeId="urn:microsoft.com/office/officeart/2005/8/quickstyle/simple1" qsCatId="simple" csTypeId="urn:microsoft.com/office/officeart/2005/8/colors/accent3_2" csCatId="accent3" phldr="1"/>
      <dgm:spPr/>
      <dgm:t>
        <a:bodyPr/>
        <a:lstStyle/>
        <a:p>
          <a:endParaRPr lang="fr-FR"/>
        </a:p>
      </dgm:t>
    </dgm:pt>
    <dgm:pt modelId="{0A45C819-EBC9-AE44-B9AF-2867A0F97B21}">
      <dgm:prSet phldrT="[Texte]" custT="1"/>
      <dgm:spPr/>
      <dgm:t>
        <a:bodyPr/>
        <a:lstStyle/>
        <a:p>
          <a:endParaRPr lang="fr-FR" sz="1200" b="1" dirty="0" err="1"/>
        </a:p>
        <a:p>
          <a:endParaRPr lang="fr-FR" sz="1200" b="1" dirty="0" err="1"/>
        </a:p>
        <a:p>
          <a:r>
            <a:rPr lang="fr-FR" sz="1000" b="1" dirty="0" err="1"/>
            <a:t>Company-level</a:t>
          </a:r>
          <a:r>
            <a:rPr lang="fr-FR" sz="1000" b="1" dirty="0"/>
            <a:t> </a:t>
          </a:r>
          <a:br>
            <a:rPr lang="fr-FR" sz="1000" b="1" dirty="0"/>
          </a:br>
          <a:r>
            <a:rPr lang="fr-FR" sz="1000" b="1" dirty="0"/>
            <a:t>pension </a:t>
          </a:r>
          <a:r>
            <a:rPr lang="fr-FR" sz="1000" b="1" dirty="0" err="1"/>
            <a:t>scheme</a:t>
          </a:r>
          <a:r>
            <a:rPr lang="fr-FR" sz="1000" b="1" dirty="0"/>
            <a:t>,</a:t>
          </a:r>
        </a:p>
        <a:p>
          <a:r>
            <a:rPr lang="fr-FR" sz="1000" dirty="0"/>
            <a:t> </a:t>
          </a:r>
          <a:r>
            <a:rPr lang="fr-FR" sz="1000" dirty="0" err="1"/>
            <a:t>Optional</a:t>
          </a:r>
          <a:r>
            <a:rPr lang="fr-FR" sz="1000" dirty="0"/>
            <a:t> </a:t>
          </a:r>
          <a:r>
            <a:rPr lang="fr-FR" sz="1000" dirty="0" err="1"/>
            <a:t>systems (DB / DC)</a:t>
          </a:r>
          <a:endParaRPr lang="fr-FR" sz="1000" dirty="0"/>
        </a:p>
      </dgm:t>
    </dgm:pt>
    <dgm:pt modelId="{AF1B5DE4-A019-C94B-B6C1-26FAAC43E9AC}" type="parTrans" cxnId="{6EBF1731-BE6B-9E48-9D2E-B60D1ACB7E83}">
      <dgm:prSet/>
      <dgm:spPr/>
      <dgm:t>
        <a:bodyPr/>
        <a:lstStyle/>
        <a:p>
          <a:endParaRPr lang="fr-FR"/>
        </a:p>
      </dgm:t>
    </dgm:pt>
    <dgm:pt modelId="{B3D3C3B9-86D6-6744-9E3B-624CE74C345A}" type="sibTrans" cxnId="{6EBF1731-BE6B-9E48-9D2E-B60D1ACB7E83}">
      <dgm:prSet/>
      <dgm:spPr/>
      <dgm:t>
        <a:bodyPr/>
        <a:lstStyle/>
        <a:p>
          <a:endParaRPr lang="fr-FR"/>
        </a:p>
      </dgm:t>
    </dgm:pt>
    <dgm:pt modelId="{B2C6A12E-4FE9-364C-BD53-B3B33CD9F042}">
      <dgm:prSet phldrT="[Texte]" custT="1"/>
      <dgm:spPr>
        <a:solidFill>
          <a:schemeClr val="accent3">
            <a:lumMod val="90000"/>
          </a:schemeClr>
        </a:solidFill>
      </dgm:spPr>
      <dgm:t>
        <a:bodyPr/>
        <a:lstStyle/>
        <a:p>
          <a:r>
            <a:rPr lang="fr-FR" sz="1000" b="1" dirty="0" err="1"/>
            <a:t>Mandatory</a:t>
          </a:r>
          <a:r>
            <a:rPr lang="fr-FR" sz="1000" b="1" dirty="0"/>
            <a:t> </a:t>
          </a:r>
          <a:r>
            <a:rPr lang="fr-FR" sz="1000" b="1" dirty="0" err="1"/>
            <a:t>complimentary</a:t>
          </a:r>
          <a:r>
            <a:rPr lang="fr-FR" sz="1000" b="1" dirty="0"/>
            <a:t> pension </a:t>
          </a:r>
          <a:r>
            <a:rPr lang="fr-FR" sz="1000" b="1" dirty="0" err="1"/>
            <a:t>scheme</a:t>
          </a:r>
          <a:endParaRPr lang="fr-FR" sz="1000" b="1" dirty="0"/>
        </a:p>
        <a:p>
          <a:r>
            <a:rPr lang="fr-FR" sz="1000" b="0" dirty="0"/>
            <a:t>« AGIRC / ARRCO </a:t>
          </a:r>
          <a:r>
            <a:rPr lang="fr-FR" sz="1200" b="0" dirty="0"/>
            <a:t>»</a:t>
          </a:r>
        </a:p>
      </dgm:t>
    </dgm:pt>
    <dgm:pt modelId="{0485802D-24CE-F347-851E-EE9E4CCC7C74}" type="sibTrans" cxnId="{C168F404-3C60-3947-BD99-CD25FAF6C99F}">
      <dgm:prSet/>
      <dgm:spPr/>
      <dgm:t>
        <a:bodyPr/>
        <a:lstStyle/>
        <a:p>
          <a:endParaRPr lang="fr-FR"/>
        </a:p>
      </dgm:t>
    </dgm:pt>
    <dgm:pt modelId="{58404648-1AFE-994F-B312-9D6DDF84F586}" type="parTrans" cxnId="{C168F404-3C60-3947-BD99-CD25FAF6C99F}">
      <dgm:prSet/>
      <dgm:spPr/>
      <dgm:t>
        <a:bodyPr/>
        <a:lstStyle/>
        <a:p>
          <a:endParaRPr lang="fr-FR"/>
        </a:p>
      </dgm:t>
    </dgm:pt>
    <dgm:pt modelId="{4F9DE396-1645-9F46-8B4F-DDE168342C3E}">
      <dgm:prSet phldrT="[Texte]" custT="1"/>
      <dgm:spPr>
        <a:solidFill>
          <a:schemeClr val="accent3">
            <a:lumMod val="75000"/>
          </a:schemeClr>
        </a:solidFill>
      </dgm:spPr>
      <dgm:t>
        <a:bodyPr/>
        <a:lstStyle/>
        <a:p>
          <a:r>
            <a:rPr lang="fr-FR" sz="1000" b="1" dirty="0" err="1"/>
            <a:t>Mandatory</a:t>
          </a:r>
          <a:r>
            <a:rPr lang="fr-FR" sz="1000" b="1" dirty="0"/>
            <a:t> basic </a:t>
          </a:r>
          <a:r>
            <a:rPr lang="fr-FR" sz="1000" b="1" dirty="0" err="1"/>
            <a:t>scheme</a:t>
          </a:r>
          <a:r>
            <a:rPr lang="fr-FR" sz="1000" b="1" dirty="0"/>
            <a:t>, </a:t>
          </a:r>
          <a:r>
            <a:rPr lang="fr-FR" sz="1000" b="1" dirty="0" err="1"/>
            <a:t>statutory</a:t>
          </a:r>
          <a:r>
            <a:rPr lang="fr-FR" sz="1000" b="1" dirty="0"/>
            <a:t> pension</a:t>
          </a:r>
        </a:p>
      </dgm:t>
    </dgm:pt>
    <dgm:pt modelId="{22087098-E102-8747-8219-1813D9F13BA0}" type="sibTrans" cxnId="{21D9499D-C373-644C-B763-51B73C46D29D}">
      <dgm:prSet/>
      <dgm:spPr/>
      <dgm:t>
        <a:bodyPr/>
        <a:lstStyle/>
        <a:p>
          <a:endParaRPr lang="fr-FR"/>
        </a:p>
      </dgm:t>
    </dgm:pt>
    <dgm:pt modelId="{EDADFDD2-5A9F-4745-B3B4-6718F481D3C9}" type="parTrans" cxnId="{21D9499D-C373-644C-B763-51B73C46D29D}">
      <dgm:prSet/>
      <dgm:spPr/>
      <dgm:t>
        <a:bodyPr/>
        <a:lstStyle/>
        <a:p>
          <a:endParaRPr lang="fr-FR"/>
        </a:p>
      </dgm:t>
    </dgm:pt>
    <dgm:pt modelId="{0D193582-D221-0A41-BD88-D220B6782489}" type="pres">
      <dgm:prSet presAssocID="{FDDECB2D-E453-0F41-9870-538E076B5689}" presName="Name0" presStyleCnt="0">
        <dgm:presLayoutVars>
          <dgm:dir/>
          <dgm:animLvl val="lvl"/>
          <dgm:resizeHandles val="exact"/>
        </dgm:presLayoutVars>
      </dgm:prSet>
      <dgm:spPr/>
    </dgm:pt>
    <dgm:pt modelId="{8106D8D0-6C9C-F240-AA68-67C127FE93A4}" type="pres">
      <dgm:prSet presAssocID="{0A45C819-EBC9-AE44-B9AF-2867A0F97B21}" presName="Name8" presStyleCnt="0"/>
      <dgm:spPr/>
    </dgm:pt>
    <dgm:pt modelId="{77D00085-4B94-384B-AAEE-2821C36CA7BA}" type="pres">
      <dgm:prSet presAssocID="{0A45C819-EBC9-AE44-B9AF-2867A0F97B21}" presName="level" presStyleLbl="node1" presStyleIdx="0" presStyleCnt="3">
        <dgm:presLayoutVars>
          <dgm:chMax val="1"/>
          <dgm:bulletEnabled val="1"/>
        </dgm:presLayoutVars>
      </dgm:prSet>
      <dgm:spPr/>
    </dgm:pt>
    <dgm:pt modelId="{36EE9823-A586-D947-83CF-04C95033C27F}" type="pres">
      <dgm:prSet presAssocID="{0A45C819-EBC9-AE44-B9AF-2867A0F97B21}" presName="levelTx" presStyleLbl="revTx" presStyleIdx="0" presStyleCnt="0">
        <dgm:presLayoutVars>
          <dgm:chMax val="1"/>
          <dgm:bulletEnabled val="1"/>
        </dgm:presLayoutVars>
      </dgm:prSet>
      <dgm:spPr/>
    </dgm:pt>
    <dgm:pt modelId="{941EA775-B720-A44C-8514-7E4DD36BFE69}" type="pres">
      <dgm:prSet presAssocID="{B2C6A12E-4FE9-364C-BD53-B3B33CD9F042}" presName="Name8" presStyleCnt="0"/>
      <dgm:spPr/>
    </dgm:pt>
    <dgm:pt modelId="{C36A4004-F02D-5043-8FF5-0F0A767BA780}" type="pres">
      <dgm:prSet presAssocID="{B2C6A12E-4FE9-364C-BD53-B3B33CD9F042}" presName="level" presStyleLbl="node1" presStyleIdx="1" presStyleCnt="3" custScaleY="77312">
        <dgm:presLayoutVars>
          <dgm:chMax val="1"/>
          <dgm:bulletEnabled val="1"/>
        </dgm:presLayoutVars>
      </dgm:prSet>
      <dgm:spPr/>
    </dgm:pt>
    <dgm:pt modelId="{2CE09C96-5C24-0542-B02A-526F604E00BF}" type="pres">
      <dgm:prSet presAssocID="{B2C6A12E-4FE9-364C-BD53-B3B33CD9F042}" presName="levelTx" presStyleLbl="revTx" presStyleIdx="0" presStyleCnt="0">
        <dgm:presLayoutVars>
          <dgm:chMax val="1"/>
          <dgm:bulletEnabled val="1"/>
        </dgm:presLayoutVars>
      </dgm:prSet>
      <dgm:spPr/>
    </dgm:pt>
    <dgm:pt modelId="{6B2DC00E-01D4-5242-B2A4-D780EA2B94D8}" type="pres">
      <dgm:prSet presAssocID="{4F9DE396-1645-9F46-8B4F-DDE168342C3E}" presName="Name8" presStyleCnt="0"/>
      <dgm:spPr/>
    </dgm:pt>
    <dgm:pt modelId="{49E18B39-FF8D-F94D-A340-05F5EADF75CB}" type="pres">
      <dgm:prSet presAssocID="{4F9DE396-1645-9F46-8B4F-DDE168342C3E}" presName="level" presStyleLbl="node1" presStyleIdx="2" presStyleCnt="3">
        <dgm:presLayoutVars>
          <dgm:chMax val="1"/>
          <dgm:bulletEnabled val="1"/>
        </dgm:presLayoutVars>
      </dgm:prSet>
      <dgm:spPr/>
    </dgm:pt>
    <dgm:pt modelId="{BBC66AE2-150F-9249-A82C-3523E299F985}" type="pres">
      <dgm:prSet presAssocID="{4F9DE396-1645-9F46-8B4F-DDE168342C3E}" presName="levelTx" presStyleLbl="revTx" presStyleIdx="0" presStyleCnt="0">
        <dgm:presLayoutVars>
          <dgm:chMax val="1"/>
          <dgm:bulletEnabled val="1"/>
        </dgm:presLayoutVars>
      </dgm:prSet>
      <dgm:spPr/>
    </dgm:pt>
  </dgm:ptLst>
  <dgm:cxnLst>
    <dgm:cxn modelId="{C168F404-3C60-3947-BD99-CD25FAF6C99F}" srcId="{FDDECB2D-E453-0F41-9870-538E076B5689}" destId="{B2C6A12E-4FE9-364C-BD53-B3B33CD9F042}" srcOrd="1" destOrd="0" parTransId="{58404648-1AFE-994F-B312-9D6DDF84F586}" sibTransId="{0485802D-24CE-F347-851E-EE9E4CCC7C74}"/>
    <dgm:cxn modelId="{6EBF1731-BE6B-9E48-9D2E-B60D1ACB7E83}" srcId="{FDDECB2D-E453-0F41-9870-538E076B5689}" destId="{0A45C819-EBC9-AE44-B9AF-2867A0F97B21}" srcOrd="0" destOrd="0" parTransId="{AF1B5DE4-A019-C94B-B6C1-26FAAC43E9AC}" sibTransId="{B3D3C3B9-86D6-6744-9E3B-624CE74C345A}"/>
    <dgm:cxn modelId="{B968DC57-B7EE-467C-89AC-88912E0B9245}" type="presOf" srcId="{B2C6A12E-4FE9-364C-BD53-B3B33CD9F042}" destId="{C36A4004-F02D-5043-8FF5-0F0A767BA780}" srcOrd="0" destOrd="0" presId="urn:microsoft.com/office/officeart/2005/8/layout/pyramid1"/>
    <dgm:cxn modelId="{21D9499D-C373-644C-B763-51B73C46D29D}" srcId="{FDDECB2D-E453-0F41-9870-538E076B5689}" destId="{4F9DE396-1645-9F46-8B4F-DDE168342C3E}" srcOrd="2" destOrd="0" parTransId="{EDADFDD2-5A9F-4745-B3B4-6718F481D3C9}" sibTransId="{22087098-E102-8747-8219-1813D9F13BA0}"/>
    <dgm:cxn modelId="{535A7A9F-EC1C-4966-9F34-CC413A5D12B0}" type="presOf" srcId="{0A45C819-EBC9-AE44-B9AF-2867A0F97B21}" destId="{36EE9823-A586-D947-83CF-04C95033C27F}" srcOrd="1" destOrd="0" presId="urn:microsoft.com/office/officeart/2005/8/layout/pyramid1"/>
    <dgm:cxn modelId="{802735E8-839C-4FEA-ACF2-6A9F996A4B3F}" type="presOf" srcId="{4F9DE396-1645-9F46-8B4F-DDE168342C3E}" destId="{49E18B39-FF8D-F94D-A340-05F5EADF75CB}" srcOrd="0" destOrd="0" presId="urn:microsoft.com/office/officeart/2005/8/layout/pyramid1"/>
    <dgm:cxn modelId="{359308EC-0063-45F6-A3AB-0AF2B9C2ACE3}" type="presOf" srcId="{0A45C819-EBC9-AE44-B9AF-2867A0F97B21}" destId="{77D00085-4B94-384B-AAEE-2821C36CA7BA}" srcOrd="0" destOrd="0" presId="urn:microsoft.com/office/officeart/2005/8/layout/pyramid1"/>
    <dgm:cxn modelId="{FB0920EC-6447-459C-8407-4E737034ACCE}" type="presOf" srcId="{FDDECB2D-E453-0F41-9870-538E076B5689}" destId="{0D193582-D221-0A41-BD88-D220B6782489}" srcOrd="0" destOrd="0" presId="urn:microsoft.com/office/officeart/2005/8/layout/pyramid1"/>
    <dgm:cxn modelId="{DB4E0BFC-25A9-492D-8903-8147F5A6AC7D}" type="presOf" srcId="{B2C6A12E-4FE9-364C-BD53-B3B33CD9F042}" destId="{2CE09C96-5C24-0542-B02A-526F604E00BF}" srcOrd="1" destOrd="0" presId="urn:microsoft.com/office/officeart/2005/8/layout/pyramid1"/>
    <dgm:cxn modelId="{7FCF84FE-1DCE-4018-9CDD-6A7FAC408E09}" type="presOf" srcId="{4F9DE396-1645-9F46-8B4F-DDE168342C3E}" destId="{BBC66AE2-150F-9249-A82C-3523E299F985}" srcOrd="1" destOrd="0" presId="urn:microsoft.com/office/officeart/2005/8/layout/pyramid1"/>
    <dgm:cxn modelId="{95CA22B2-6F9F-40AC-9833-D0200DA6F704}" type="presParOf" srcId="{0D193582-D221-0A41-BD88-D220B6782489}" destId="{8106D8D0-6C9C-F240-AA68-67C127FE93A4}" srcOrd="0" destOrd="0" presId="urn:microsoft.com/office/officeart/2005/8/layout/pyramid1"/>
    <dgm:cxn modelId="{58D9BF89-ACEE-4D6C-A82D-C794DE3565ED}" type="presParOf" srcId="{8106D8D0-6C9C-F240-AA68-67C127FE93A4}" destId="{77D00085-4B94-384B-AAEE-2821C36CA7BA}" srcOrd="0" destOrd="0" presId="urn:microsoft.com/office/officeart/2005/8/layout/pyramid1"/>
    <dgm:cxn modelId="{27FA1429-D9A6-4823-841E-307C52D3ADF1}" type="presParOf" srcId="{8106D8D0-6C9C-F240-AA68-67C127FE93A4}" destId="{36EE9823-A586-D947-83CF-04C95033C27F}" srcOrd="1" destOrd="0" presId="urn:microsoft.com/office/officeart/2005/8/layout/pyramid1"/>
    <dgm:cxn modelId="{E0C1F280-1910-4DEF-80D4-C5BC5F02E7AD}" type="presParOf" srcId="{0D193582-D221-0A41-BD88-D220B6782489}" destId="{941EA775-B720-A44C-8514-7E4DD36BFE69}" srcOrd="1" destOrd="0" presId="urn:microsoft.com/office/officeart/2005/8/layout/pyramid1"/>
    <dgm:cxn modelId="{4FE09C3A-5DCD-4228-BE3B-D7C793F162BC}" type="presParOf" srcId="{941EA775-B720-A44C-8514-7E4DD36BFE69}" destId="{C36A4004-F02D-5043-8FF5-0F0A767BA780}" srcOrd="0" destOrd="0" presId="urn:microsoft.com/office/officeart/2005/8/layout/pyramid1"/>
    <dgm:cxn modelId="{B2E32E99-F57B-4185-9A00-84AF4087B5F2}" type="presParOf" srcId="{941EA775-B720-A44C-8514-7E4DD36BFE69}" destId="{2CE09C96-5C24-0542-B02A-526F604E00BF}" srcOrd="1" destOrd="0" presId="urn:microsoft.com/office/officeart/2005/8/layout/pyramid1"/>
    <dgm:cxn modelId="{D65F4BCB-6551-4D27-8BC1-A75743A4640D}" type="presParOf" srcId="{0D193582-D221-0A41-BD88-D220B6782489}" destId="{6B2DC00E-01D4-5242-B2A4-D780EA2B94D8}" srcOrd="2" destOrd="0" presId="urn:microsoft.com/office/officeart/2005/8/layout/pyramid1"/>
    <dgm:cxn modelId="{F55CAA97-B0EA-4BA0-A9D3-5111C421AB80}" type="presParOf" srcId="{6B2DC00E-01D4-5242-B2A4-D780EA2B94D8}" destId="{49E18B39-FF8D-F94D-A340-05F5EADF75CB}" srcOrd="0" destOrd="0" presId="urn:microsoft.com/office/officeart/2005/8/layout/pyramid1"/>
    <dgm:cxn modelId="{A164180D-E3B1-4E18-9269-00ECC813610B}" type="presParOf" srcId="{6B2DC00E-01D4-5242-B2A4-D780EA2B94D8}" destId="{BBC66AE2-150F-9249-A82C-3523E299F985}"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00085-4B94-384B-AAEE-2821C36CA7BA}">
      <dsp:nvSpPr>
        <dsp:cNvPr id="0" name=""/>
        <dsp:cNvSpPr/>
      </dsp:nvSpPr>
      <dsp:spPr>
        <a:xfrm>
          <a:off x="1480334" y="0"/>
          <a:ext cx="1669751" cy="1002720"/>
        </a:xfrm>
        <a:prstGeom prst="trapezoid">
          <a:avLst>
            <a:gd name="adj" fmla="val 83261"/>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fr-FR" sz="1200" b="1" kern="1200" dirty="0" err="1"/>
        </a:p>
        <a:p>
          <a:pPr marL="0" lvl="0" indent="0" algn="ctr" defTabSz="533400">
            <a:lnSpc>
              <a:spcPct val="90000"/>
            </a:lnSpc>
            <a:spcBef>
              <a:spcPct val="0"/>
            </a:spcBef>
            <a:spcAft>
              <a:spcPct val="35000"/>
            </a:spcAft>
            <a:buNone/>
          </a:pPr>
          <a:endParaRPr lang="fr-FR" sz="1200" b="1" kern="1200" dirty="0" err="1"/>
        </a:p>
        <a:p>
          <a:pPr marL="0" lvl="0" indent="0" algn="ctr" defTabSz="533400">
            <a:lnSpc>
              <a:spcPct val="90000"/>
            </a:lnSpc>
            <a:spcBef>
              <a:spcPct val="0"/>
            </a:spcBef>
            <a:spcAft>
              <a:spcPct val="35000"/>
            </a:spcAft>
            <a:buNone/>
          </a:pPr>
          <a:r>
            <a:rPr lang="fr-FR" sz="1000" b="1" kern="1200" dirty="0" err="1"/>
            <a:t>Company-level</a:t>
          </a:r>
          <a:r>
            <a:rPr lang="fr-FR" sz="1000" b="1" kern="1200" dirty="0"/>
            <a:t> </a:t>
          </a:r>
          <a:br>
            <a:rPr lang="fr-FR" sz="1000" b="1" kern="1200" dirty="0"/>
          </a:br>
          <a:r>
            <a:rPr lang="fr-FR" sz="1000" b="1" kern="1200" dirty="0"/>
            <a:t>pension </a:t>
          </a:r>
          <a:r>
            <a:rPr lang="fr-FR" sz="1000" b="1" kern="1200" dirty="0" err="1"/>
            <a:t>scheme</a:t>
          </a:r>
          <a:r>
            <a:rPr lang="fr-FR" sz="1000" b="1" kern="1200" dirty="0"/>
            <a:t>,</a:t>
          </a:r>
        </a:p>
        <a:p>
          <a:pPr marL="0" lvl="0" indent="0" algn="ctr" defTabSz="533400">
            <a:lnSpc>
              <a:spcPct val="90000"/>
            </a:lnSpc>
            <a:spcBef>
              <a:spcPct val="0"/>
            </a:spcBef>
            <a:spcAft>
              <a:spcPct val="35000"/>
            </a:spcAft>
            <a:buNone/>
          </a:pPr>
          <a:r>
            <a:rPr lang="fr-FR" sz="1000" kern="1200" dirty="0"/>
            <a:t> </a:t>
          </a:r>
          <a:r>
            <a:rPr lang="fr-FR" sz="1000" kern="1200" dirty="0" err="1"/>
            <a:t>Optional</a:t>
          </a:r>
          <a:r>
            <a:rPr lang="fr-FR" sz="1000" kern="1200" dirty="0"/>
            <a:t> </a:t>
          </a:r>
          <a:r>
            <a:rPr lang="fr-FR" sz="1000" kern="1200" dirty="0" err="1"/>
            <a:t>systems (DB / DC)</a:t>
          </a:r>
          <a:endParaRPr lang="fr-FR" sz="1000" kern="1200" dirty="0"/>
        </a:p>
      </dsp:txBody>
      <dsp:txXfrm>
        <a:off x="1480334" y="0"/>
        <a:ext cx="1669751" cy="1002720"/>
      </dsp:txXfrm>
    </dsp:sp>
    <dsp:sp modelId="{C36A4004-F02D-5043-8FF5-0F0A767BA780}">
      <dsp:nvSpPr>
        <dsp:cNvPr id="0" name=""/>
        <dsp:cNvSpPr/>
      </dsp:nvSpPr>
      <dsp:spPr>
        <a:xfrm>
          <a:off x="834875" y="1002720"/>
          <a:ext cx="2960668" cy="775223"/>
        </a:xfrm>
        <a:prstGeom prst="trapezoid">
          <a:avLst>
            <a:gd name="adj" fmla="val 83261"/>
          </a:avLst>
        </a:prstGeom>
        <a:solidFill>
          <a:schemeClr val="accent3">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dirty="0" err="1"/>
            <a:t>Mandatory</a:t>
          </a:r>
          <a:r>
            <a:rPr lang="fr-FR" sz="1000" b="1" kern="1200" dirty="0"/>
            <a:t> </a:t>
          </a:r>
          <a:r>
            <a:rPr lang="fr-FR" sz="1000" b="1" kern="1200" dirty="0" err="1"/>
            <a:t>complimentary</a:t>
          </a:r>
          <a:r>
            <a:rPr lang="fr-FR" sz="1000" b="1" kern="1200" dirty="0"/>
            <a:t> pension </a:t>
          </a:r>
          <a:r>
            <a:rPr lang="fr-FR" sz="1000" b="1" kern="1200" dirty="0" err="1"/>
            <a:t>scheme</a:t>
          </a:r>
          <a:endParaRPr lang="fr-FR" sz="1000" b="1" kern="1200" dirty="0"/>
        </a:p>
        <a:p>
          <a:pPr marL="0" lvl="0" indent="0" algn="ctr" defTabSz="444500">
            <a:lnSpc>
              <a:spcPct val="90000"/>
            </a:lnSpc>
            <a:spcBef>
              <a:spcPct val="0"/>
            </a:spcBef>
            <a:spcAft>
              <a:spcPct val="35000"/>
            </a:spcAft>
            <a:buNone/>
          </a:pPr>
          <a:r>
            <a:rPr lang="fr-FR" sz="1000" b="0" kern="1200" dirty="0"/>
            <a:t>« AGIRC / ARRCO </a:t>
          </a:r>
          <a:r>
            <a:rPr lang="fr-FR" sz="1200" b="0" kern="1200" dirty="0"/>
            <a:t>»</a:t>
          </a:r>
        </a:p>
      </dsp:txBody>
      <dsp:txXfrm>
        <a:off x="1352992" y="1002720"/>
        <a:ext cx="1924434" cy="775223"/>
      </dsp:txXfrm>
    </dsp:sp>
    <dsp:sp modelId="{49E18B39-FF8D-F94D-A340-05F5EADF75CB}">
      <dsp:nvSpPr>
        <dsp:cNvPr id="0" name=""/>
        <dsp:cNvSpPr/>
      </dsp:nvSpPr>
      <dsp:spPr>
        <a:xfrm>
          <a:off x="0" y="1777944"/>
          <a:ext cx="4630420" cy="1002720"/>
        </a:xfrm>
        <a:prstGeom prst="trapezoid">
          <a:avLst>
            <a:gd name="adj" fmla="val 83261"/>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dirty="0" err="1"/>
            <a:t>Mandatory</a:t>
          </a:r>
          <a:r>
            <a:rPr lang="fr-FR" sz="1000" b="1" kern="1200" dirty="0"/>
            <a:t> basic </a:t>
          </a:r>
          <a:r>
            <a:rPr lang="fr-FR" sz="1000" b="1" kern="1200" dirty="0" err="1"/>
            <a:t>scheme</a:t>
          </a:r>
          <a:r>
            <a:rPr lang="fr-FR" sz="1000" b="1" kern="1200" dirty="0"/>
            <a:t>, </a:t>
          </a:r>
          <a:r>
            <a:rPr lang="fr-FR" sz="1000" b="1" kern="1200" dirty="0" err="1"/>
            <a:t>statutory</a:t>
          </a:r>
          <a:r>
            <a:rPr lang="fr-FR" sz="1000" b="1" kern="1200" dirty="0"/>
            <a:t> pension</a:t>
          </a:r>
        </a:p>
      </dsp:txBody>
      <dsp:txXfrm>
        <a:off x="810323" y="1777944"/>
        <a:ext cx="3009773" cy="10027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 U S E R F I L E S ! 7 4 9 8 5 9 . 1 < / d o c u m e n t i d >  
     < s e n d e r i d > J U R G E N . D E V R E E S E @ L Y D I A N . B E < / s e n d e r i d >  
     < s e n d e r e m a i l > J U R G E N . D E V R E E S E @ L Y D I A N . B E < / s e n d e r e m a i l >  
     < l a s t m o d i f i e d > 2 0 2 4 - 0 5 - 1 4 T 0 8 : 5 4 : 0 0 . 0 0 0 0 0 0 0 + 0 2 : 0 0 < / l a s t m o d i f i e d >  
     < d a t a b a s e > U S E R F I L E S 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C7D48157484748A199ACACBD8E9F08" ma:contentTypeVersion="15" ma:contentTypeDescription="Create a new document." ma:contentTypeScope="" ma:versionID="a439fbeff5fa08334a2873d5fb62f7c3">
  <xsd:schema xmlns:xsd="http://www.w3.org/2001/XMLSchema" xmlns:xs="http://www.w3.org/2001/XMLSchema" xmlns:p="http://schemas.microsoft.com/office/2006/metadata/properties" xmlns:ns2="9c9004a1-997b-4284-ab12-4d6ae9ae0fba" xmlns:ns3="c1a83556-0ce7-40c9-8fbf-0b6546597522" targetNamespace="http://schemas.microsoft.com/office/2006/metadata/properties" ma:root="true" ma:fieldsID="0977906d2f13eadfbdb14350e1f90743" ns2:_="" ns3:_="">
    <xsd:import namespace="9c9004a1-997b-4284-ab12-4d6ae9ae0fba"/>
    <xsd:import namespace="c1a83556-0ce7-40c9-8fbf-0b65465975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004a1-997b-4284-ab12-4d6ae9ae0f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d0a3d3-26e3-4438-bee1-aabab164233b}" ma:internalName="TaxCatchAll" ma:showField="CatchAllData" ma:web="9c9004a1-997b-4284-ab12-4d6ae9ae0f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83556-0ce7-40c9-8fbf-0b65465975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ABEFC-1F7D-7D43-89E2-9616AFF04FAD}">
  <ds:schemaRefs>
    <ds:schemaRef ds:uri="http://www.imanage.com/work/xmlschema"/>
  </ds:schemaRefs>
</ds:datastoreItem>
</file>

<file path=customXml/itemProps2.xml><?xml version="1.0" encoding="utf-8"?>
<ds:datastoreItem xmlns:ds="http://schemas.openxmlformats.org/officeDocument/2006/customXml" ds:itemID="{60779ED6-C12E-412D-8543-A4F332E1F5C6}">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F5BE5095-4D40-45E6-BB4F-3EECDC317CF7}"/>
</file>

<file path=customXml/itemProps4.xml><?xml version="1.0" encoding="utf-8"?>
<ds:datastoreItem xmlns:ds="http://schemas.openxmlformats.org/officeDocument/2006/customXml" ds:itemID="{0611EF35-17A6-485F-974B-72630B221DFB}"/>
</file>

<file path=docProps/app.xml><?xml version="1.0" encoding="utf-8"?>
<Properties xmlns="http://schemas.openxmlformats.org/officeDocument/2006/extended-properties" xmlns:vt="http://schemas.openxmlformats.org/officeDocument/2006/docPropsVTypes">
  <Template>Normal</Template>
  <TotalTime>533</TotalTime>
  <Pages>19</Pages>
  <Words>5895</Words>
  <Characters>33605</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39422</CharactersWithSpaces>
  <SharedDoc>false</SharedDoc>
  <HLinks>
    <vt:vector size="42" baseType="variant">
      <vt:variant>
        <vt:i4>458870</vt:i4>
      </vt:variant>
      <vt:variant>
        <vt:i4>9</vt:i4>
      </vt:variant>
      <vt:variant>
        <vt:i4>0</vt:i4>
      </vt:variant>
      <vt:variant>
        <vt:i4>5</vt:i4>
      </vt:variant>
      <vt:variant>
        <vt:lpwstr>https://www.law.cornell.edu/definitions/uscode.php?width=840&amp;height=800&amp;iframe=true&amp;def_id=29-USC-3443497-854092651&amp;term_occur=999&amp;term_src=</vt:lpwstr>
      </vt:variant>
      <vt:variant>
        <vt:lpwstr/>
      </vt:variant>
      <vt:variant>
        <vt:i4>3932239</vt:i4>
      </vt:variant>
      <vt:variant>
        <vt:i4>6</vt:i4>
      </vt:variant>
      <vt:variant>
        <vt:i4>0</vt:i4>
      </vt:variant>
      <vt:variant>
        <vt:i4>5</vt:i4>
      </vt:variant>
      <vt:variant>
        <vt:lpwstr>https://www.law.cornell.edu/definitions/uscode.php?width=840&amp;height=800&amp;iframe=true&amp;def_id=29-USC-767422259-854092655&amp;term_occur=999&amp;term_src=</vt:lpwstr>
      </vt:variant>
      <vt:variant>
        <vt:lpwstr/>
      </vt:variant>
      <vt:variant>
        <vt:i4>3932239</vt:i4>
      </vt:variant>
      <vt:variant>
        <vt:i4>3</vt:i4>
      </vt:variant>
      <vt:variant>
        <vt:i4>0</vt:i4>
      </vt:variant>
      <vt:variant>
        <vt:i4>5</vt:i4>
      </vt:variant>
      <vt:variant>
        <vt:lpwstr>https://www.law.cornell.edu/definitions/uscode.php?width=840&amp;height=800&amp;iframe=true&amp;def_id=29-USC-767422259-854092655&amp;term_occur=999&amp;term_src=</vt:lpwstr>
      </vt:variant>
      <vt:variant>
        <vt:lpwstr/>
      </vt:variant>
      <vt:variant>
        <vt:i4>458870</vt:i4>
      </vt:variant>
      <vt:variant>
        <vt:i4>0</vt:i4>
      </vt:variant>
      <vt:variant>
        <vt:i4>0</vt:i4>
      </vt:variant>
      <vt:variant>
        <vt:i4>5</vt:i4>
      </vt:variant>
      <vt:variant>
        <vt:lpwstr>https://www.law.cornell.edu/definitions/uscode.php?width=840&amp;height=800&amp;iframe=true&amp;def_id=29-USC-3443497-854092651&amp;term_occur=999&amp;term_src=</vt:lpwstr>
      </vt:variant>
      <vt:variant>
        <vt:lpwstr/>
      </vt:variant>
      <vt:variant>
        <vt:i4>7733292</vt:i4>
      </vt:variant>
      <vt:variant>
        <vt:i4>6</vt:i4>
      </vt:variant>
      <vt:variant>
        <vt:i4>0</vt:i4>
      </vt:variant>
      <vt:variant>
        <vt:i4>5</vt:i4>
      </vt:variant>
      <vt:variant>
        <vt:lpwstr>https://www.govinfo.gov/content/pkg/COMPS-896/pdf/COMPS-896.pdf</vt:lpwstr>
      </vt:variant>
      <vt:variant>
        <vt:lpwstr/>
      </vt:variant>
      <vt:variant>
        <vt:i4>2031626</vt:i4>
      </vt:variant>
      <vt:variant>
        <vt:i4>3</vt:i4>
      </vt:variant>
      <vt:variant>
        <vt:i4>0</vt:i4>
      </vt:variant>
      <vt:variant>
        <vt:i4>5</vt:i4>
      </vt:variant>
      <vt:variant>
        <vt:lpwstr>https://eur-lex.europa.eu/legal-content/EN/TXT/PDF/?uri=CELEX:32016L2341</vt:lpwstr>
      </vt:variant>
      <vt:variant>
        <vt:lpwstr/>
      </vt:variant>
      <vt:variant>
        <vt:i4>7733292</vt:i4>
      </vt:variant>
      <vt:variant>
        <vt:i4>0</vt:i4>
      </vt:variant>
      <vt:variant>
        <vt:i4>0</vt:i4>
      </vt:variant>
      <vt:variant>
        <vt:i4>5</vt:i4>
      </vt:variant>
      <vt:variant>
        <vt:lpwstr>https://www.govinfo.gov/content/pkg/COMPS-896/pdf/COMPS-896.pdf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Parsons</dc:creator>
  <cp:keywords/>
  <dc:description/>
  <cp:lastModifiedBy>Philip Bennett</cp:lastModifiedBy>
  <cp:revision>70</cp:revision>
  <cp:lastPrinted>2024-05-10T12:59:00Z</cp:lastPrinted>
  <dcterms:created xsi:type="dcterms:W3CDTF">2024-05-14T07:55:00Z</dcterms:created>
  <dcterms:modified xsi:type="dcterms:W3CDTF">2024-06-25T12:20:00Z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749859</vt:lpwstr>
  </property>
  <property fmtid="{D5CDD505-2E9C-101B-9397-08002B2CF9AE}" pid="3" name="WorksiteDocVersion">
    <vt:lpwstr>v1</vt:lpwstr>
  </property>
  <property fmtid="{D5CDD505-2E9C-101B-9397-08002B2CF9AE}" pid="4" name="WorksiteMatterNumber">
    <vt:lpwstr/>
  </property>
  <property fmtid="{D5CDD505-2E9C-101B-9397-08002B2CF9AE}" pid="5" name="WorksiteAuthor">
    <vt:lpwstr>JURGEN.DEVREESE@LYDIAN.BE</vt:lpwstr>
  </property>
  <property fmtid="{D5CDD505-2E9C-101B-9397-08002B2CF9AE}" pid="6" name="ClassificationContentMarkingFooterShapeIds">
    <vt:lpwstr>1,2,3</vt:lpwstr>
  </property>
  <property fmtid="{D5CDD505-2E9C-101B-9397-08002B2CF9AE}" pid="7" name="ClassificationContentMarkingFooterFontProps">
    <vt:lpwstr>#00b050,8,Arial</vt:lpwstr>
  </property>
  <property fmtid="{D5CDD505-2E9C-101B-9397-08002B2CF9AE}" pid="8" name="ClassificationContentMarkingFooterText">
    <vt:lpwstr>- Limited distribution -</vt:lpwstr>
  </property>
  <property fmtid="{D5CDD505-2E9C-101B-9397-08002B2CF9AE}" pid="9" name="MSIP_Label_307c798e-64a3-4e31-92d2-d35bb8a9dfbe_Enabled">
    <vt:lpwstr>true</vt:lpwstr>
  </property>
  <property fmtid="{D5CDD505-2E9C-101B-9397-08002B2CF9AE}" pid="10" name="MSIP_Label_307c798e-64a3-4e31-92d2-d35bb8a9dfbe_SetDate">
    <vt:lpwstr>2024-05-14T06:54:19Z</vt:lpwstr>
  </property>
  <property fmtid="{D5CDD505-2E9C-101B-9397-08002B2CF9AE}" pid="11" name="MSIP_Label_307c798e-64a3-4e31-92d2-d35bb8a9dfbe_Method">
    <vt:lpwstr>Standard</vt:lpwstr>
  </property>
  <property fmtid="{D5CDD505-2E9C-101B-9397-08002B2CF9AE}" pid="12" name="MSIP_Label_307c798e-64a3-4e31-92d2-d35bb8a9dfbe_Name">
    <vt:lpwstr>Limited distribution</vt:lpwstr>
  </property>
  <property fmtid="{D5CDD505-2E9C-101B-9397-08002B2CF9AE}" pid="13" name="MSIP_Label_307c798e-64a3-4e31-92d2-d35bb8a9dfbe_SiteId">
    <vt:lpwstr>f8d24231-86cb-403c-ab3e-341c81cceb18</vt:lpwstr>
  </property>
  <property fmtid="{D5CDD505-2E9C-101B-9397-08002B2CF9AE}" pid="14" name="MSIP_Label_307c798e-64a3-4e31-92d2-d35bb8a9dfbe_ActionId">
    <vt:lpwstr>c85b6b49-a405-4077-8b11-080842c4a46b</vt:lpwstr>
  </property>
  <property fmtid="{D5CDD505-2E9C-101B-9397-08002B2CF9AE}" pid="15" name="MSIP_Label_307c798e-64a3-4e31-92d2-d35bb8a9dfbe_ContentBits">
    <vt:lpwstr>3</vt:lpwstr>
  </property>
</Properties>
</file>